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A10" w:rsidRDefault="00FB4D2B" w:rsidP="00615B6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 3 </w:t>
      </w:r>
      <w:r w:rsidR="00077A10" w:rsidRPr="00091695">
        <w:rPr>
          <w:rFonts w:ascii="Times New Roman" w:hAnsi="Times New Roman" w:cs="Times New Roman"/>
          <w:b/>
          <w:sz w:val="28"/>
          <w:szCs w:val="28"/>
        </w:rPr>
        <w:t>СВОДКА И ГРУППИРОВКА</w:t>
      </w:r>
      <w:r w:rsidRPr="00FB4D2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СТАТИСТИЧЕСК</w:t>
      </w:r>
      <w:r>
        <w:rPr>
          <w:rFonts w:ascii="Times New Roman" w:hAnsi="Times New Roman" w:cs="Times New Roman"/>
          <w:b/>
          <w:sz w:val="28"/>
          <w:szCs w:val="28"/>
        </w:rPr>
        <w:tab/>
        <w:t>ИХ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ДАННЫХ</w:t>
      </w:r>
    </w:p>
    <w:p w:rsidR="00FB4D2B" w:rsidRDefault="00FB4D2B" w:rsidP="00615B6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4D2B" w:rsidRDefault="00FB4D2B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D2B">
        <w:rPr>
          <w:rFonts w:ascii="Times New Roman" w:hAnsi="Times New Roman" w:cs="Times New Roman"/>
          <w:sz w:val="28"/>
          <w:szCs w:val="28"/>
        </w:rPr>
        <w:t>3.1 Понятие о сводке и группировке статистического материала</w:t>
      </w:r>
    </w:p>
    <w:p w:rsidR="00B87A4C" w:rsidRDefault="00B87A4C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 Интервалы группировок</w:t>
      </w:r>
    </w:p>
    <w:p w:rsidR="00A12F07" w:rsidRDefault="00B87A4C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A12F07">
        <w:rPr>
          <w:rFonts w:ascii="Times New Roman" w:hAnsi="Times New Roman" w:cs="Times New Roman"/>
          <w:sz w:val="28"/>
          <w:szCs w:val="28"/>
        </w:rPr>
        <w:t xml:space="preserve"> Статистические ряды распределения и статистические таблицы</w:t>
      </w:r>
    </w:p>
    <w:p w:rsidR="00FB4D2B" w:rsidRPr="00FB4D2B" w:rsidRDefault="00FB4D2B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B4D2B" w:rsidRDefault="00FB4D2B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4D2B">
        <w:rPr>
          <w:rFonts w:ascii="Times New Roman" w:hAnsi="Times New Roman" w:cs="Times New Roman"/>
          <w:b/>
          <w:sz w:val="28"/>
          <w:szCs w:val="28"/>
        </w:rPr>
        <w:t>3.1 Понятие о сводке и группировке статистического материала</w:t>
      </w:r>
    </w:p>
    <w:p w:rsidR="00416490" w:rsidRPr="00FB4D2B" w:rsidRDefault="00FB4D2B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D2B">
        <w:rPr>
          <w:rFonts w:ascii="Times New Roman" w:hAnsi="Times New Roman" w:cs="Times New Roman"/>
          <w:sz w:val="28"/>
          <w:szCs w:val="28"/>
        </w:rPr>
        <w:t>Собранный в процессе статистического наблюдения материал представляет собой разрозненные</w:t>
      </w:r>
      <w:r>
        <w:rPr>
          <w:rFonts w:ascii="Times New Roman" w:hAnsi="Times New Roman" w:cs="Times New Roman"/>
          <w:sz w:val="28"/>
          <w:szCs w:val="28"/>
        </w:rPr>
        <w:t xml:space="preserve"> первичные цифровые сведения об отдельных единицах изучаемого явления. В таком виде материал еще не характеризует </w:t>
      </w:r>
      <w:r w:rsidR="00416490">
        <w:rPr>
          <w:rFonts w:ascii="Times New Roman" w:hAnsi="Times New Roman" w:cs="Times New Roman"/>
          <w:sz w:val="28"/>
          <w:szCs w:val="28"/>
        </w:rPr>
        <w:t>явления</w:t>
      </w:r>
      <w:r>
        <w:rPr>
          <w:rFonts w:ascii="Times New Roman" w:hAnsi="Times New Roman" w:cs="Times New Roman"/>
          <w:sz w:val="28"/>
          <w:szCs w:val="28"/>
        </w:rPr>
        <w:t xml:space="preserve"> в целом, так как он слишком разрознен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неклассифицирован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Из него не видно ни состава, ни </w:t>
      </w:r>
      <w:r w:rsidR="00416490">
        <w:rPr>
          <w:rFonts w:ascii="Times New Roman" w:hAnsi="Times New Roman" w:cs="Times New Roman"/>
          <w:sz w:val="28"/>
          <w:szCs w:val="28"/>
        </w:rPr>
        <w:t>численности</w:t>
      </w:r>
      <w:r>
        <w:rPr>
          <w:rFonts w:ascii="Times New Roman" w:hAnsi="Times New Roman" w:cs="Times New Roman"/>
          <w:sz w:val="28"/>
          <w:szCs w:val="28"/>
        </w:rPr>
        <w:t xml:space="preserve">, ни существа связей этого явления с другими. Указанные признаки могут быть получены лишь в процессе обработки материалов наблюдения. Это и является задачей второго этапа </w:t>
      </w:r>
      <w:r w:rsidR="00416490">
        <w:rPr>
          <w:rFonts w:ascii="Times New Roman" w:hAnsi="Times New Roman" w:cs="Times New Roman"/>
          <w:sz w:val="28"/>
          <w:szCs w:val="28"/>
        </w:rPr>
        <w:t>статистической работы – сводка и группировка результатов статистического исследования.</w:t>
      </w:r>
    </w:p>
    <w:p w:rsidR="00077A10" w:rsidRPr="00091695" w:rsidRDefault="00077A10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4D2B">
        <w:rPr>
          <w:rFonts w:ascii="Times New Roman" w:hAnsi="Times New Roman" w:cs="Times New Roman"/>
          <w:b/>
          <w:i/>
          <w:sz w:val="28"/>
          <w:szCs w:val="28"/>
        </w:rPr>
        <w:t>Статистическая сводка</w:t>
      </w:r>
      <w:r w:rsidRPr="00091695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091695">
        <w:rPr>
          <w:rFonts w:ascii="Times New Roman" w:hAnsi="Times New Roman" w:cs="Times New Roman"/>
          <w:sz w:val="28"/>
          <w:szCs w:val="28"/>
        </w:rPr>
        <w:t>это систематизация первичных данных и подсчет обобщающих статистических показателей, относящихся ко всей совокупности.</w:t>
      </w:r>
    </w:p>
    <w:p w:rsidR="00077A10" w:rsidRPr="00A12F07" w:rsidRDefault="00077A10" w:rsidP="00F836C4">
      <w:pPr>
        <w:widowControl w:val="0"/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 xml:space="preserve">Статистическая сводка классифицируется по ряду признаков: 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5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по глубине обработки данных: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простая;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сложная;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комбинированная;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6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многомерная;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5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по форме обработки материала:</w:t>
      </w:r>
    </w:p>
    <w:p w:rsidR="00077A10" w:rsidRPr="00184E35" w:rsidRDefault="00077A10" w:rsidP="00F836C4">
      <w:pPr>
        <w:pStyle w:val="a3"/>
        <w:widowControl w:val="0"/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4E35">
        <w:rPr>
          <w:rFonts w:ascii="Times New Roman" w:hAnsi="Times New Roman" w:cs="Times New Roman"/>
          <w:sz w:val="28"/>
          <w:szCs w:val="28"/>
        </w:rPr>
        <w:t>децентрализованная</w:t>
      </w:r>
      <w:proofErr w:type="gramEnd"/>
      <w:r w:rsidR="00184E35" w:rsidRPr="00184E35">
        <w:rPr>
          <w:rFonts w:ascii="Times New Roman" w:hAnsi="Times New Roman" w:cs="Times New Roman"/>
          <w:sz w:val="28"/>
          <w:szCs w:val="28"/>
        </w:rPr>
        <w:t xml:space="preserve"> – </w:t>
      </w:r>
      <w:r w:rsidR="00184E35" w:rsidRPr="00184E3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способ обобщения материала, который осуществляется снизу доверху по иерархической лестнице управления и на каждом из этапов подвергается обработке</w:t>
      </w:r>
      <w:r w:rsidRPr="00184E35">
        <w:rPr>
          <w:rFonts w:ascii="Times New Roman" w:hAnsi="Times New Roman" w:cs="Times New Roman"/>
          <w:sz w:val="28"/>
          <w:szCs w:val="28"/>
        </w:rPr>
        <w:t>;</w:t>
      </w:r>
    </w:p>
    <w:p w:rsidR="00077A10" w:rsidRPr="00184E35" w:rsidRDefault="00077A10" w:rsidP="00F836C4">
      <w:pPr>
        <w:pStyle w:val="a3"/>
        <w:widowControl w:val="0"/>
        <w:numPr>
          <w:ilvl w:val="0"/>
          <w:numId w:val="7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4E35">
        <w:rPr>
          <w:rFonts w:ascii="Times New Roman" w:hAnsi="Times New Roman" w:cs="Times New Roman"/>
          <w:sz w:val="28"/>
          <w:szCs w:val="28"/>
        </w:rPr>
        <w:t>централизованная</w:t>
      </w:r>
      <w:proofErr w:type="gramEnd"/>
      <w:r w:rsidR="00184E35" w:rsidRPr="00184E35">
        <w:rPr>
          <w:rFonts w:ascii="Times New Roman" w:hAnsi="Times New Roman" w:cs="Times New Roman"/>
          <w:sz w:val="28"/>
          <w:szCs w:val="28"/>
        </w:rPr>
        <w:t xml:space="preserve"> – </w:t>
      </w:r>
      <w:r w:rsidR="00184E35" w:rsidRPr="00184E3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способ, при котором все первичные данные, полученные в результате статистического наблюдения, сосредоточиваются в одной центральной организации и подвергаются обработке от начала до конца</w:t>
      </w:r>
      <w:r w:rsidRPr="00184E35">
        <w:rPr>
          <w:rFonts w:ascii="Times New Roman" w:hAnsi="Times New Roman" w:cs="Times New Roman"/>
          <w:sz w:val="28"/>
          <w:szCs w:val="28"/>
        </w:rPr>
        <w:t>;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5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по технике выполнения: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8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механизированная;</w:t>
      </w:r>
    </w:p>
    <w:p w:rsidR="00077A10" w:rsidRPr="00A12F07" w:rsidRDefault="00077A10" w:rsidP="00F836C4">
      <w:pPr>
        <w:pStyle w:val="a3"/>
        <w:widowControl w:val="0"/>
        <w:numPr>
          <w:ilvl w:val="0"/>
          <w:numId w:val="8"/>
        </w:numPr>
        <w:tabs>
          <w:tab w:val="left" w:pos="142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12F07">
        <w:rPr>
          <w:rFonts w:ascii="Times New Roman" w:hAnsi="Times New Roman" w:cs="Times New Roman"/>
          <w:sz w:val="28"/>
          <w:szCs w:val="28"/>
        </w:rPr>
        <w:t>ручная.</w:t>
      </w:r>
    </w:p>
    <w:p w:rsidR="00077A10" w:rsidRPr="00C40A9D" w:rsidRDefault="00C472F6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Статистическая группировка</w:t>
      </w:r>
      <w:r w:rsidR="00077A10" w:rsidRPr="0009169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– </w:t>
      </w:r>
      <w:r w:rsidRPr="00C472F6">
        <w:rPr>
          <w:rFonts w:ascii="Times New Roman" w:hAnsi="Times New Roman" w:cs="Times New Roman"/>
          <w:sz w:val="28"/>
          <w:szCs w:val="28"/>
        </w:rPr>
        <w:t>это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7A10" w:rsidRPr="00091695">
        <w:rPr>
          <w:rFonts w:ascii="Times New Roman" w:hAnsi="Times New Roman" w:cs="Times New Roman"/>
          <w:sz w:val="28"/>
          <w:szCs w:val="28"/>
        </w:rPr>
        <w:t xml:space="preserve">разделение множества единиц изучаемой совокупности на однородные типичные группы по определенным </w:t>
      </w:r>
      <w:r w:rsidR="00077A10" w:rsidRPr="00C40A9D">
        <w:rPr>
          <w:rFonts w:ascii="Times New Roman" w:hAnsi="Times New Roman" w:cs="Times New Roman"/>
          <w:sz w:val="28"/>
          <w:szCs w:val="28"/>
        </w:rPr>
        <w:t>существенным количественным или качественным признакам.</w:t>
      </w:r>
    </w:p>
    <w:p w:rsidR="00C40A9D" w:rsidRPr="00615B6C" w:rsidRDefault="00C40A9D" w:rsidP="00F836C4">
      <w:pPr>
        <w:pStyle w:val="a4"/>
        <w:widowControl w:val="0"/>
        <w:shd w:val="clear" w:color="auto" w:fill="FFFFFF"/>
        <w:tabs>
          <w:tab w:val="left" w:pos="851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615B6C">
        <w:rPr>
          <w:sz w:val="28"/>
          <w:szCs w:val="28"/>
        </w:rPr>
        <w:t>Различают следующие виды статистических группировок:</w:t>
      </w:r>
    </w:p>
    <w:p w:rsidR="00C40A9D" w:rsidRPr="00615B6C" w:rsidRDefault="00C40A9D" w:rsidP="00F836C4">
      <w:pPr>
        <w:pStyle w:val="a4"/>
        <w:widowControl w:val="0"/>
        <w:numPr>
          <w:ilvl w:val="0"/>
          <w:numId w:val="9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615B6C">
        <w:rPr>
          <w:sz w:val="28"/>
          <w:szCs w:val="28"/>
        </w:rPr>
        <w:t>типологические</w:t>
      </w:r>
      <w:r w:rsidR="00C813FA" w:rsidRPr="00615B6C">
        <w:rPr>
          <w:sz w:val="28"/>
          <w:szCs w:val="28"/>
        </w:rPr>
        <w:t xml:space="preserve"> – </w:t>
      </w:r>
      <w:r w:rsidR="00615B6C" w:rsidRPr="00615B6C">
        <w:rPr>
          <w:bCs/>
          <w:sz w:val="28"/>
          <w:szCs w:val="28"/>
          <w:shd w:val="clear" w:color="auto" w:fill="FFFFFF"/>
        </w:rPr>
        <w:t>это</w:t>
      </w:r>
      <w:r w:rsidR="00615B6C" w:rsidRPr="00615B6C">
        <w:rPr>
          <w:sz w:val="28"/>
          <w:szCs w:val="28"/>
          <w:shd w:val="clear" w:color="auto" w:fill="FFFFFF"/>
        </w:rPr>
        <w:t> разделение исследуемой качественно разнородной совокупности на классы, социально – экономические типы, однородные группы единиц</w:t>
      </w:r>
      <w:r w:rsidRPr="00615B6C">
        <w:rPr>
          <w:sz w:val="28"/>
          <w:szCs w:val="28"/>
        </w:rPr>
        <w:t>;</w:t>
      </w:r>
    </w:p>
    <w:p w:rsidR="00C40A9D" w:rsidRPr="00615B6C" w:rsidRDefault="00C40A9D" w:rsidP="00F836C4">
      <w:pPr>
        <w:pStyle w:val="a3"/>
        <w:widowControl w:val="0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15B6C">
        <w:rPr>
          <w:rFonts w:ascii="Times New Roman" w:hAnsi="Times New Roman" w:cs="Times New Roman"/>
          <w:sz w:val="28"/>
          <w:szCs w:val="28"/>
        </w:rPr>
        <w:t>структурные</w:t>
      </w:r>
      <w:r w:rsidR="00615B6C" w:rsidRPr="00615B6C">
        <w:rPr>
          <w:rFonts w:ascii="Times New Roman" w:hAnsi="Times New Roman" w:cs="Times New Roman"/>
          <w:sz w:val="28"/>
          <w:szCs w:val="28"/>
        </w:rPr>
        <w:t xml:space="preserve">  </w:t>
      </w:r>
      <w:r w:rsidR="00615B6C" w:rsidRPr="00615B6C">
        <w:rPr>
          <w:rFonts w:ascii="Times New Roman" w:hAnsi="Times New Roman" w:cs="Times New Roman"/>
          <w:sz w:val="28"/>
          <w:szCs w:val="28"/>
        </w:rPr>
        <w:t>–</w:t>
      </w:r>
      <w:r w:rsidR="00615B6C" w:rsidRPr="00615B6C">
        <w:rPr>
          <w:rFonts w:ascii="Times New Roman" w:hAnsi="Times New Roman" w:cs="Times New Roman"/>
          <w:sz w:val="28"/>
          <w:szCs w:val="28"/>
        </w:rPr>
        <w:t xml:space="preserve"> </w:t>
      </w:r>
      <w:r w:rsidR="00615B6C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615B6C" w:rsidRPr="00615B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 группировке этого типа массив данных разбивается на группы, каждая из которых объединяет показатели, характеризующие </w:t>
      </w:r>
      <w:r w:rsidR="00615B6C" w:rsidRPr="00615B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состояние того или иного структурного элемента изучаемого явления или группы объ</w:t>
      </w:r>
      <w:r w:rsidR="00615B6C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ектов, составляющих это явление</w:t>
      </w:r>
      <w:r w:rsidRPr="00615B6C">
        <w:rPr>
          <w:rFonts w:ascii="Times New Roman" w:hAnsi="Times New Roman" w:cs="Times New Roman"/>
          <w:sz w:val="28"/>
          <w:szCs w:val="28"/>
        </w:rPr>
        <w:t>;</w:t>
      </w:r>
    </w:p>
    <w:p w:rsidR="00C40A9D" w:rsidRPr="00615B6C" w:rsidRDefault="00C40A9D" w:rsidP="00F836C4">
      <w:pPr>
        <w:pStyle w:val="a4"/>
        <w:widowControl w:val="0"/>
        <w:numPr>
          <w:ilvl w:val="0"/>
          <w:numId w:val="9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615B6C">
        <w:rPr>
          <w:sz w:val="28"/>
          <w:szCs w:val="28"/>
        </w:rPr>
        <w:t>аналитические</w:t>
      </w:r>
      <w:r w:rsidR="00C813FA" w:rsidRPr="00615B6C">
        <w:rPr>
          <w:sz w:val="28"/>
          <w:szCs w:val="28"/>
        </w:rPr>
        <w:t xml:space="preserve"> </w:t>
      </w:r>
      <w:r w:rsidR="00615B6C">
        <w:rPr>
          <w:sz w:val="28"/>
          <w:szCs w:val="28"/>
        </w:rPr>
        <w:t xml:space="preserve">– </w:t>
      </w:r>
      <w:r w:rsidR="00C813FA" w:rsidRPr="00615B6C">
        <w:rPr>
          <w:sz w:val="28"/>
          <w:szCs w:val="28"/>
          <w:shd w:val="clear" w:color="auto" w:fill="FFFFFF"/>
        </w:rPr>
        <w:t>это группировка, выявляющая взаимосвязи и взаимозависимости между изучаемыми социально–экономическими явлениями и признаками, их характеризующими</w:t>
      </w:r>
      <w:r w:rsidRPr="00615B6C">
        <w:rPr>
          <w:sz w:val="28"/>
          <w:szCs w:val="28"/>
        </w:rPr>
        <w:t>.</w:t>
      </w:r>
    </w:p>
    <w:p w:rsidR="004177C2" w:rsidRPr="004177C2" w:rsidRDefault="004177C2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7C2">
        <w:rPr>
          <w:rFonts w:ascii="Times New Roman" w:hAnsi="Times New Roman" w:cs="Times New Roman"/>
          <w:b/>
          <w:i/>
          <w:sz w:val="28"/>
          <w:szCs w:val="28"/>
        </w:rPr>
        <w:t>Группированным признаком</w:t>
      </w:r>
      <w:r w:rsidRPr="004177C2">
        <w:rPr>
          <w:rFonts w:ascii="Times New Roman" w:hAnsi="Times New Roman" w:cs="Times New Roman"/>
          <w:sz w:val="28"/>
          <w:szCs w:val="28"/>
        </w:rPr>
        <w:t xml:space="preserve"> (основанием группировки) называется признак, по которому проводится разделение единиц совокупности на отдельные группы.</w:t>
      </w:r>
    </w:p>
    <w:p w:rsidR="004177C2" w:rsidRDefault="004177C2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177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Все признаки в статистической науке можно подразделять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4177C2" w:rsidRPr="004177C2" w:rsidRDefault="004177C2" w:rsidP="00F836C4">
      <w:pPr>
        <w:pStyle w:val="a3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177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факторные (п</w:t>
      </w:r>
      <w:r w:rsidRPr="004177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ризнаки, которые оказывают большое влияние на изменение результативных признаков</w:t>
      </w:r>
      <w:r w:rsidRPr="004177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);</w:t>
      </w:r>
    </w:p>
    <w:p w:rsidR="00C40A9D" w:rsidRPr="004177C2" w:rsidRDefault="004177C2" w:rsidP="00F836C4">
      <w:pPr>
        <w:pStyle w:val="a3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77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результативные (п</w:t>
      </w:r>
      <w:r w:rsidRPr="004177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ризнаки, изменяющиеся под влияни</w:t>
      </w:r>
      <w:r w:rsidRPr="004177C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 факторных признаков)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D76A79" w:rsidRPr="00D76A79" w:rsidRDefault="00D76A79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i/>
          <w:iCs/>
          <w:sz w:val="28"/>
          <w:szCs w:val="28"/>
        </w:rPr>
      </w:pPr>
      <w:r w:rsidRPr="00D76A79">
        <w:rPr>
          <w:sz w:val="28"/>
          <w:szCs w:val="28"/>
        </w:rPr>
        <w:t>В зависимости от числа положенных в основание группировк</w:t>
      </w:r>
      <w:r>
        <w:rPr>
          <w:sz w:val="28"/>
          <w:szCs w:val="28"/>
        </w:rPr>
        <w:t xml:space="preserve">и признаков различают простые, комбинационные и </w:t>
      </w:r>
      <w:r w:rsidRPr="00D76A79">
        <w:rPr>
          <w:sz w:val="28"/>
          <w:szCs w:val="28"/>
        </w:rPr>
        <w:t>многомерные группировки.</w:t>
      </w:r>
    </w:p>
    <w:p w:rsidR="00536CC5" w:rsidRPr="00536CC5" w:rsidRDefault="00536CC5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36CC5">
        <w:rPr>
          <w:b/>
          <w:bCs/>
          <w:i/>
          <w:iCs/>
          <w:color w:val="000000"/>
          <w:sz w:val="28"/>
          <w:szCs w:val="28"/>
        </w:rPr>
        <w:t>Простой называется </w:t>
      </w:r>
      <w:r w:rsidRPr="00536CC5">
        <w:rPr>
          <w:color w:val="000000"/>
          <w:sz w:val="28"/>
          <w:szCs w:val="28"/>
        </w:rPr>
        <w:t>группировка, если группа образована только по одному признаку. Если разбить группу на подгруппу в соответствии с определенными признаками, то такую группировку называют комбинированной.</w:t>
      </w:r>
    </w:p>
    <w:p w:rsidR="00536CC5" w:rsidRPr="00536CC5" w:rsidRDefault="00536CC5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36CC5">
        <w:rPr>
          <w:b/>
          <w:bCs/>
          <w:i/>
          <w:iCs/>
          <w:color w:val="000000"/>
          <w:sz w:val="28"/>
          <w:szCs w:val="28"/>
        </w:rPr>
        <w:t>Комбинационной </w:t>
      </w:r>
      <w:r w:rsidRPr="00536CC5">
        <w:rPr>
          <w:color w:val="000000"/>
          <w:sz w:val="28"/>
          <w:szCs w:val="28"/>
        </w:rPr>
        <w:t>считается группировка, когда разбивка совокупности на группы производи</w:t>
      </w:r>
      <w:r w:rsidR="00D76A79">
        <w:rPr>
          <w:color w:val="000000"/>
          <w:sz w:val="28"/>
          <w:szCs w:val="28"/>
        </w:rPr>
        <w:t xml:space="preserve">тся по двум и более </w:t>
      </w:r>
      <w:proofErr w:type="spellStart"/>
      <w:r w:rsidR="00D76A79">
        <w:rPr>
          <w:color w:val="000000"/>
          <w:sz w:val="28"/>
          <w:szCs w:val="28"/>
        </w:rPr>
        <w:t>группировоч</w:t>
      </w:r>
      <w:r w:rsidRPr="00536CC5">
        <w:rPr>
          <w:color w:val="000000"/>
          <w:sz w:val="28"/>
          <w:szCs w:val="28"/>
        </w:rPr>
        <w:t>ным</w:t>
      </w:r>
      <w:proofErr w:type="spellEnd"/>
      <w:r w:rsidRPr="00536CC5">
        <w:rPr>
          <w:color w:val="000000"/>
          <w:sz w:val="28"/>
          <w:szCs w:val="28"/>
        </w:rPr>
        <w:t xml:space="preserve"> признакам, взятым в сочетании (комбинации) друг с другом Комбинационные группировки позволяют изучать единицы совокупности одновременно по нескольким признакам.</w:t>
      </w:r>
    </w:p>
    <w:p w:rsidR="00536CC5" w:rsidRPr="00536CC5" w:rsidRDefault="00536CC5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36CC5">
        <w:rPr>
          <w:color w:val="000000"/>
          <w:sz w:val="28"/>
          <w:szCs w:val="28"/>
        </w:rPr>
        <w:t>При изучении сложных социально–экономических явлений и процессов применяются комбинационные группировки. Для того чтобы построить комбинационную группировку, необходимо выявить наличие достаточно большого числа наблюдений.</w:t>
      </w:r>
    </w:p>
    <w:p w:rsidR="00D76A79" w:rsidRDefault="00536CC5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i/>
          <w:iCs/>
          <w:color w:val="000000"/>
          <w:sz w:val="28"/>
          <w:szCs w:val="28"/>
        </w:rPr>
      </w:pPr>
      <w:r w:rsidRPr="00536CC5">
        <w:rPr>
          <w:color w:val="000000"/>
          <w:sz w:val="28"/>
          <w:szCs w:val="28"/>
        </w:rPr>
        <w:t>Для того чтобы найти скопление (в мерном пространстве) объектов (точек), необходимо применить </w:t>
      </w:r>
      <w:r w:rsidRPr="00536CC5">
        <w:rPr>
          <w:b/>
          <w:bCs/>
          <w:i/>
          <w:iCs/>
          <w:color w:val="000000"/>
          <w:sz w:val="28"/>
          <w:szCs w:val="28"/>
        </w:rPr>
        <w:t>многомерную группировку </w:t>
      </w:r>
    </w:p>
    <w:p w:rsidR="00536CC5" w:rsidRPr="00536CC5" w:rsidRDefault="00536CC5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36CC5">
        <w:rPr>
          <w:color w:val="000000"/>
          <w:sz w:val="28"/>
          <w:szCs w:val="28"/>
        </w:rPr>
        <w:t>Различают группировки по используемой информации:</w:t>
      </w:r>
    </w:p>
    <w:p w:rsidR="00536CC5" w:rsidRPr="00536CC5" w:rsidRDefault="00536CC5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536CC5">
        <w:rPr>
          <w:color w:val="000000"/>
          <w:sz w:val="28"/>
          <w:szCs w:val="28"/>
        </w:rPr>
        <w:t xml:space="preserve">1) первичные – производятся на основе исходных </w:t>
      </w:r>
      <w:r w:rsidR="00D76A79" w:rsidRPr="00536CC5">
        <w:rPr>
          <w:color w:val="000000"/>
          <w:sz w:val="28"/>
          <w:szCs w:val="28"/>
        </w:rPr>
        <w:t>данных,</w:t>
      </w:r>
      <w:r w:rsidRPr="00536CC5">
        <w:rPr>
          <w:color w:val="000000"/>
          <w:sz w:val="28"/>
          <w:szCs w:val="28"/>
        </w:rPr>
        <w:t xml:space="preserve"> которые были получены в результате статистического наблюдения;</w:t>
      </w:r>
    </w:p>
    <w:p w:rsidR="00077A10" w:rsidRPr="00091695" w:rsidRDefault="00536CC5" w:rsidP="00F836C4">
      <w:pPr>
        <w:pStyle w:val="a4"/>
        <w:widowControl w:val="0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gramStart"/>
      <w:r w:rsidRPr="00536CC5">
        <w:rPr>
          <w:color w:val="000000"/>
          <w:sz w:val="28"/>
          <w:szCs w:val="28"/>
        </w:rPr>
        <w:t>2) вторичные – это</w:t>
      </w:r>
      <w:r w:rsidR="00D76A79">
        <w:rPr>
          <w:color w:val="000000"/>
          <w:sz w:val="28"/>
          <w:szCs w:val="28"/>
        </w:rPr>
        <w:t xml:space="preserve"> </w:t>
      </w:r>
      <w:r w:rsidR="00077A10" w:rsidRPr="00091695">
        <w:rPr>
          <w:sz w:val="28"/>
          <w:szCs w:val="28"/>
        </w:rPr>
        <w:t xml:space="preserve">образование новых групп на основные ранее проведенной группировки. </w:t>
      </w:r>
      <w:proofErr w:type="gramEnd"/>
    </w:p>
    <w:p w:rsidR="00077A10" w:rsidRPr="004177C2" w:rsidRDefault="00077A10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7C2">
        <w:rPr>
          <w:rFonts w:ascii="Times New Roman" w:hAnsi="Times New Roman" w:cs="Times New Roman"/>
          <w:sz w:val="28"/>
          <w:szCs w:val="28"/>
        </w:rPr>
        <w:t>Два способа вторичной группировки:</w:t>
      </w:r>
    </w:p>
    <w:p w:rsidR="00077A10" w:rsidRPr="004177C2" w:rsidRDefault="00077A10" w:rsidP="00F836C4">
      <w:pPr>
        <w:pStyle w:val="a3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7C2">
        <w:rPr>
          <w:rFonts w:ascii="Times New Roman" w:hAnsi="Times New Roman" w:cs="Times New Roman"/>
          <w:sz w:val="28"/>
          <w:szCs w:val="28"/>
        </w:rPr>
        <w:t>способ укрупнения интервалов;</w:t>
      </w:r>
    </w:p>
    <w:p w:rsidR="00077A10" w:rsidRPr="004177C2" w:rsidRDefault="00077A10" w:rsidP="00F836C4">
      <w:pPr>
        <w:pStyle w:val="a3"/>
        <w:widowControl w:val="0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177C2">
        <w:rPr>
          <w:rFonts w:ascii="Times New Roman" w:hAnsi="Times New Roman" w:cs="Times New Roman"/>
          <w:sz w:val="28"/>
          <w:szCs w:val="28"/>
        </w:rPr>
        <w:t>способ деловой перегруппировки.</w:t>
      </w:r>
    </w:p>
    <w:p w:rsidR="00077A10" w:rsidRPr="00091695" w:rsidRDefault="00077A10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1695">
        <w:rPr>
          <w:rFonts w:ascii="Times New Roman" w:hAnsi="Times New Roman" w:cs="Times New Roman"/>
          <w:sz w:val="28"/>
          <w:szCs w:val="28"/>
        </w:rPr>
        <w:t>Метод группировок решает следующие задачи статистического анализа:</w:t>
      </w:r>
    </w:p>
    <w:p w:rsidR="00077A10" w:rsidRPr="00091695" w:rsidRDefault="004177C2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В</w:t>
      </w:r>
      <w:r w:rsidR="00077A10" w:rsidRPr="00091695">
        <w:rPr>
          <w:rFonts w:ascii="Times New Roman" w:hAnsi="Times New Roman" w:cs="Times New Roman"/>
          <w:sz w:val="28"/>
          <w:szCs w:val="28"/>
        </w:rPr>
        <w:t>ыделение социально-экономических типов явлений.</w:t>
      </w:r>
    </w:p>
    <w:p w:rsidR="00077A10" w:rsidRPr="00091695" w:rsidRDefault="00077A10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1695">
        <w:rPr>
          <w:rFonts w:ascii="Times New Roman" w:hAnsi="Times New Roman" w:cs="Times New Roman"/>
          <w:sz w:val="28"/>
          <w:szCs w:val="28"/>
        </w:rPr>
        <w:t>2. Изучение структуры явления и структурных сдвигов, происходящих в нем.</w:t>
      </w:r>
    </w:p>
    <w:p w:rsidR="00077A10" w:rsidRPr="00091695" w:rsidRDefault="004177C2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077A10" w:rsidRPr="00091695">
        <w:rPr>
          <w:rFonts w:ascii="Times New Roman" w:hAnsi="Times New Roman" w:cs="Times New Roman"/>
          <w:sz w:val="28"/>
          <w:szCs w:val="28"/>
        </w:rPr>
        <w:t>бнаружение связи и зависимости между явлениями.</w:t>
      </w:r>
    </w:p>
    <w:p w:rsidR="00B87A4C" w:rsidRDefault="00B87A4C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7A4C" w:rsidRDefault="00B87A4C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77A10" w:rsidRPr="00B87A4C" w:rsidRDefault="00B87A4C" w:rsidP="00F836C4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7A4C">
        <w:rPr>
          <w:rFonts w:ascii="Times New Roman" w:hAnsi="Times New Roman" w:cs="Times New Roman"/>
          <w:b/>
          <w:sz w:val="28"/>
          <w:szCs w:val="28"/>
        </w:rPr>
        <w:lastRenderedPageBreak/>
        <w:t>3.2 Интервалы группировок</w:t>
      </w:r>
    </w:p>
    <w:p w:rsidR="00B87A4C" w:rsidRDefault="008056C2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56C2">
        <w:rPr>
          <w:rFonts w:ascii="Times New Roman" w:hAnsi="Times New Roman" w:cs="Times New Roman"/>
          <w:sz w:val="28"/>
          <w:szCs w:val="28"/>
        </w:rPr>
        <w:t xml:space="preserve">При </w:t>
      </w:r>
      <w:r>
        <w:rPr>
          <w:rFonts w:ascii="Times New Roman" w:hAnsi="Times New Roman" w:cs="Times New Roman"/>
          <w:sz w:val="28"/>
          <w:szCs w:val="28"/>
        </w:rPr>
        <w:t>группировке изучаемых явлений по одному признаку, а тем более при комбинации двух-трех признаков можно получить значительное число групп (например, при группировке населения по возрасту, при группировке торговых фирм по числу работников или по размеру товарообороту и т.д.).</w:t>
      </w:r>
    </w:p>
    <w:p w:rsidR="008056C2" w:rsidRDefault="008056C2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решения вопроса о числе групп необходимо сначала выяснить положение и роль отдельных групп, тенденции их развития и затем выделить характерные, типичные группы, вытекающие из анализа изучаемого явления.</w:t>
      </w:r>
    </w:p>
    <w:p w:rsidR="008056C2" w:rsidRPr="00E71469" w:rsidRDefault="00D62706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Обычно рекомендуется брать не слишком много групп, так как при этом условии в каждую группу входит достаточно большое число единиц, что </w:t>
      </w:r>
      <w:r w:rsidRPr="00E71469">
        <w:rPr>
          <w:rFonts w:ascii="Times New Roman" w:hAnsi="Times New Roman" w:cs="Times New Roman"/>
          <w:sz w:val="28"/>
          <w:szCs w:val="28"/>
        </w:rPr>
        <w:t>позволяет выявлять типичное, характерное, а не случайное.</w:t>
      </w:r>
    </w:p>
    <w:p w:rsidR="00E71469" w:rsidRPr="00E71469" w:rsidRDefault="00E71469" w:rsidP="00F836C4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71469">
        <w:rPr>
          <w:color w:val="000000"/>
          <w:sz w:val="28"/>
          <w:szCs w:val="28"/>
        </w:rPr>
        <w:t xml:space="preserve">Для определения числа групп можно воспользоваться формулой </w:t>
      </w:r>
      <w:proofErr w:type="spellStart"/>
      <w:r w:rsidRPr="00E71469">
        <w:rPr>
          <w:color w:val="000000"/>
          <w:sz w:val="28"/>
          <w:szCs w:val="28"/>
        </w:rPr>
        <w:t>Стерджесса</w:t>
      </w:r>
      <w:proofErr w:type="spellEnd"/>
      <w:r w:rsidRPr="00E71469">
        <w:rPr>
          <w:color w:val="000000"/>
          <w:sz w:val="28"/>
          <w:szCs w:val="28"/>
        </w:rPr>
        <w:t>:</w:t>
      </w:r>
    </w:p>
    <w:p w:rsidR="00E71469" w:rsidRPr="00E71469" w:rsidRDefault="00E71469" w:rsidP="00E714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E71469" w:rsidRPr="00E71469" w:rsidRDefault="00E71469" w:rsidP="00E71469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71469">
        <w:rPr>
          <w:position w:val="-10"/>
          <w:sz w:val="28"/>
          <w:szCs w:val="28"/>
        </w:rPr>
        <w:object w:dxaOrig="13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69pt;height:15.75pt" o:ole="">
            <v:imagedata r:id="rId6" o:title=""/>
          </v:shape>
          <o:OLEObject Type="Embed" ProgID="Equation.3" ShapeID="_x0000_i1029" DrawAspect="Content" ObjectID="_1576688393" r:id="rId7"/>
        </w:object>
      </w:r>
    </w:p>
    <w:p w:rsidR="00E71469" w:rsidRPr="00E71469" w:rsidRDefault="00E71469" w:rsidP="00E71469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71469" w:rsidRPr="00E71469" w:rsidRDefault="00E71469" w:rsidP="00E71469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71469">
        <w:rPr>
          <w:color w:val="000000"/>
          <w:sz w:val="28"/>
          <w:szCs w:val="28"/>
        </w:rPr>
        <w:t>г</w:t>
      </w:r>
      <w:r w:rsidRPr="00E71469">
        <w:rPr>
          <w:color w:val="000000"/>
          <w:sz w:val="28"/>
          <w:szCs w:val="28"/>
        </w:rPr>
        <w:t>де</w:t>
      </w:r>
      <w:r w:rsidRPr="00E71469">
        <w:rPr>
          <w:color w:val="000000"/>
          <w:sz w:val="28"/>
          <w:szCs w:val="28"/>
        </w:rPr>
        <w:t xml:space="preserve">, </w:t>
      </w:r>
      <w:r w:rsidRPr="00E71469">
        <w:rPr>
          <w:color w:val="000000"/>
          <w:sz w:val="28"/>
          <w:szCs w:val="28"/>
        </w:rPr>
        <w:t> </w:t>
      </w:r>
      <w:r w:rsidRPr="00E71469">
        <w:rPr>
          <w:position w:val="-6"/>
          <w:sz w:val="28"/>
          <w:szCs w:val="28"/>
        </w:rPr>
        <w:object w:dxaOrig="200" w:dyaOrig="279">
          <v:shape id="_x0000_i1025" type="#_x0000_t75" style="width:9.75pt;height:14.25pt" o:ole="">
            <v:imagedata r:id="rId8" o:title=""/>
          </v:shape>
          <o:OLEObject Type="Embed" ProgID="Equation.3" ShapeID="_x0000_i1025" DrawAspect="Content" ObjectID="_1576688394" r:id="rId9"/>
        </w:object>
      </w:r>
      <w:r w:rsidRPr="00E71469">
        <w:rPr>
          <w:color w:val="000000"/>
          <w:sz w:val="28"/>
          <w:szCs w:val="28"/>
        </w:rPr>
        <w:t>– число групп;</w:t>
      </w:r>
      <w:r w:rsidRPr="00E71469">
        <w:rPr>
          <w:sz w:val="28"/>
          <w:szCs w:val="28"/>
        </w:rPr>
        <w:t xml:space="preserve"> </w:t>
      </w:r>
      <w:r w:rsidRPr="00E71469">
        <w:rPr>
          <w:position w:val="-6"/>
          <w:sz w:val="28"/>
          <w:szCs w:val="28"/>
        </w:rPr>
        <w:object w:dxaOrig="279" w:dyaOrig="279">
          <v:shape id="_x0000_i1026" type="#_x0000_t75" style="width:14.25pt;height:14.25pt" o:ole="">
            <v:imagedata r:id="rId10" o:title=""/>
          </v:shape>
          <o:OLEObject Type="Embed" ProgID="Equation.3" ShapeID="_x0000_i1026" DrawAspect="Content" ObjectID="_1576688395" r:id="rId11"/>
        </w:object>
      </w:r>
      <w:r w:rsidRPr="00E71469">
        <w:rPr>
          <w:color w:val="000000"/>
          <w:sz w:val="28"/>
          <w:szCs w:val="28"/>
        </w:rPr>
        <w:t>– число единиц совокупности;</w:t>
      </w:r>
      <w:r w:rsidRPr="00E71469">
        <w:rPr>
          <w:sz w:val="28"/>
          <w:szCs w:val="28"/>
        </w:rPr>
        <w:t xml:space="preserve"> </w:t>
      </w:r>
      <w:r w:rsidRPr="00E71469">
        <w:rPr>
          <w:position w:val="-10"/>
          <w:sz w:val="28"/>
          <w:szCs w:val="28"/>
        </w:rPr>
        <w:object w:dxaOrig="499" w:dyaOrig="320">
          <v:shape id="_x0000_i1027" type="#_x0000_t75" style="width:24.75pt;height:15.75pt" o:ole="">
            <v:imagedata r:id="rId12" o:title=""/>
          </v:shape>
          <o:OLEObject Type="Embed" ProgID="Equation.3" ShapeID="_x0000_i1027" DrawAspect="Content" ObjectID="_1576688396" r:id="rId13"/>
        </w:object>
      </w:r>
      <w:r w:rsidRPr="00E71469">
        <w:rPr>
          <w:color w:val="000000"/>
          <w:sz w:val="28"/>
          <w:szCs w:val="28"/>
        </w:rPr>
        <w:t xml:space="preserve"> – десятичный логарифм </w:t>
      </w:r>
      <w:proofErr w:type="gramStart"/>
      <w:r w:rsidRPr="00E71469">
        <w:rPr>
          <w:color w:val="000000"/>
          <w:sz w:val="28"/>
          <w:szCs w:val="28"/>
        </w:rPr>
        <w:t>от</w:t>
      </w:r>
      <w:proofErr w:type="gramEnd"/>
      <w:r w:rsidRPr="00E71469">
        <w:rPr>
          <w:color w:val="000000"/>
          <w:sz w:val="28"/>
          <w:szCs w:val="28"/>
        </w:rPr>
        <w:t xml:space="preserve"> </w:t>
      </w:r>
      <w:r w:rsidRPr="00E71469">
        <w:rPr>
          <w:position w:val="-6"/>
          <w:sz w:val="28"/>
          <w:szCs w:val="28"/>
        </w:rPr>
        <w:object w:dxaOrig="279" w:dyaOrig="279">
          <v:shape id="_x0000_i1028" type="#_x0000_t75" style="width:14.25pt;height:14.25pt" o:ole="">
            <v:imagedata r:id="rId14" o:title=""/>
          </v:shape>
          <o:OLEObject Type="Embed" ProgID="Equation.3" ShapeID="_x0000_i1028" DrawAspect="Content" ObjectID="_1576688397" r:id="rId15"/>
        </w:object>
      </w:r>
      <w:r w:rsidRPr="00E71469">
        <w:rPr>
          <w:color w:val="000000"/>
          <w:sz w:val="28"/>
          <w:szCs w:val="28"/>
        </w:rPr>
        <w:t>.</w:t>
      </w:r>
    </w:p>
    <w:p w:rsidR="00E71469" w:rsidRPr="00E71469" w:rsidRDefault="00E71469" w:rsidP="00E71469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E71469" w:rsidRPr="00E71469" w:rsidRDefault="00E71469" w:rsidP="00E71469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71469">
        <w:rPr>
          <w:color w:val="000000"/>
          <w:sz w:val="28"/>
          <w:szCs w:val="28"/>
        </w:rPr>
        <w:t xml:space="preserve">Данная формула говорит о том, что выбор числа групп </w:t>
      </w:r>
      <w:proofErr w:type="spellStart"/>
      <w:r w:rsidRPr="00E71469">
        <w:rPr>
          <w:color w:val="000000"/>
          <w:sz w:val="28"/>
          <w:szCs w:val="28"/>
        </w:rPr>
        <w:t>объектно</w:t>
      </w:r>
      <w:proofErr w:type="spellEnd"/>
      <w:r w:rsidRPr="00E71469">
        <w:rPr>
          <w:color w:val="000000"/>
          <w:sz w:val="28"/>
          <w:szCs w:val="28"/>
        </w:rPr>
        <w:t xml:space="preserve"> зависит от объема совокупности. После установления числа групп решается вопрос об определении интервалов группировки.</w:t>
      </w:r>
    </w:p>
    <w:p w:rsidR="00E71469" w:rsidRPr="00E71469" w:rsidRDefault="00E71469" w:rsidP="00E7146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71469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Интервал группировки</w:t>
      </w:r>
      <w:r w:rsidRPr="00E714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это интервал значений варьирующего признака, лежащих в пределах определенной группы. </w:t>
      </w:r>
    </w:p>
    <w:p w:rsidR="008056C2" w:rsidRPr="00E71469" w:rsidRDefault="00E71469" w:rsidP="00E71469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14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Каждый интервал имеет свою длину (ширину), верхнюю и нижнюю границы.</w:t>
      </w:r>
    </w:p>
    <w:p w:rsidR="008056C2" w:rsidRPr="0041703A" w:rsidRDefault="00E71469" w:rsidP="0041703A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7146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Нижняя граница интервала – это наименьшее значение признака в </w:t>
      </w:r>
      <w:r w:rsidRPr="004170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интервале, а верхняя граница интервала – его наибольшее значение. </w:t>
      </w:r>
      <w:r w:rsidRPr="0041703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Ширина интервала</w:t>
      </w:r>
      <w:r w:rsidRPr="0041703A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Pr="0041703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это разность между верхней и нижней границами. </w:t>
      </w:r>
    </w:p>
    <w:p w:rsidR="0041703A" w:rsidRDefault="0041703A" w:rsidP="0041703A">
      <w:pPr>
        <w:pStyle w:val="a4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  <w:r w:rsidRPr="0041703A">
        <w:rPr>
          <w:color w:val="000000"/>
          <w:sz w:val="28"/>
          <w:szCs w:val="28"/>
        </w:rPr>
        <w:t>Величина равного интервала определяется по следующей формуле:</w:t>
      </w:r>
    </w:p>
    <w:p w:rsidR="0041703A" w:rsidRDefault="0041703A" w:rsidP="0041703A">
      <w:pPr>
        <w:pStyle w:val="a4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</w:p>
    <w:p w:rsidR="0041703A" w:rsidRDefault="00A66E6F" w:rsidP="0041703A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1703A">
        <w:rPr>
          <w:position w:val="-24"/>
          <w:sz w:val="28"/>
          <w:szCs w:val="28"/>
        </w:rPr>
        <w:object w:dxaOrig="2120" w:dyaOrig="639">
          <v:shape id="_x0000_i1032" type="#_x0000_t75" style="width:106.5pt;height:31.5pt" o:ole="">
            <v:imagedata r:id="rId16" o:title=""/>
          </v:shape>
          <o:OLEObject Type="Embed" ProgID="Equation.3" ShapeID="_x0000_i1032" DrawAspect="Content" ObjectID="_1576688398" r:id="rId17"/>
        </w:object>
      </w:r>
    </w:p>
    <w:p w:rsidR="0041703A" w:rsidRPr="0041703A" w:rsidRDefault="0041703A" w:rsidP="0041703A">
      <w:pPr>
        <w:pStyle w:val="a4"/>
        <w:shd w:val="clear" w:color="auto" w:fill="FFFFFF"/>
        <w:spacing w:before="0" w:beforeAutospacing="0" w:after="0" w:afterAutospacing="0"/>
        <w:ind w:firstLine="567"/>
        <w:rPr>
          <w:color w:val="000000"/>
          <w:sz w:val="28"/>
          <w:szCs w:val="28"/>
        </w:rPr>
      </w:pPr>
    </w:p>
    <w:p w:rsidR="0041703A" w:rsidRPr="0041703A" w:rsidRDefault="0041703A" w:rsidP="0041703A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Pr="0041703A">
        <w:rPr>
          <w:color w:val="000000"/>
          <w:sz w:val="28"/>
          <w:szCs w:val="28"/>
        </w:rPr>
        <w:t>де</w:t>
      </w:r>
      <w:r>
        <w:rPr>
          <w:color w:val="000000"/>
          <w:sz w:val="28"/>
          <w:szCs w:val="28"/>
        </w:rPr>
        <w:t xml:space="preserve">, </w:t>
      </w:r>
      <w:r w:rsidR="00A66E6F" w:rsidRPr="006069B6">
        <w:rPr>
          <w:position w:val="-12"/>
        </w:rPr>
        <w:object w:dxaOrig="1120" w:dyaOrig="360">
          <v:shape id="_x0000_i1031" type="#_x0000_t75" style="width:56.25pt;height:18pt" o:ole="">
            <v:imagedata r:id="rId18" o:title=""/>
          </v:shape>
          <o:OLEObject Type="Embed" ProgID="Equation.3" ShapeID="_x0000_i1031" DrawAspect="Content" ObjectID="_1576688399" r:id="rId19"/>
        </w:object>
      </w:r>
      <w:r w:rsidRPr="0041703A">
        <w:rPr>
          <w:color w:val="000000"/>
          <w:sz w:val="28"/>
          <w:szCs w:val="28"/>
        </w:rPr>
        <w:t>– максимальное и минимальное значение признака в совокупности;</w:t>
      </w:r>
      <w:r>
        <w:rPr>
          <w:color w:val="000000"/>
          <w:sz w:val="28"/>
          <w:szCs w:val="28"/>
        </w:rPr>
        <w:t xml:space="preserve"> </w:t>
      </w:r>
      <w:r w:rsidRPr="006069B6">
        <w:rPr>
          <w:position w:val="-6"/>
        </w:rPr>
        <w:object w:dxaOrig="200" w:dyaOrig="220">
          <v:shape id="_x0000_i1030" type="#_x0000_t75" style="width:9.75pt;height:11.25pt" o:ole="">
            <v:imagedata r:id="rId20" o:title=""/>
          </v:shape>
          <o:OLEObject Type="Embed" ProgID="Equation.3" ShapeID="_x0000_i1030" DrawAspect="Content" ObjectID="_1576688400" r:id="rId21"/>
        </w:object>
      </w:r>
      <w:r w:rsidRPr="0041703A">
        <w:rPr>
          <w:color w:val="000000"/>
          <w:sz w:val="28"/>
          <w:szCs w:val="28"/>
        </w:rPr>
        <w:t xml:space="preserve"> – число групп.</w:t>
      </w:r>
    </w:p>
    <w:p w:rsidR="008056C2" w:rsidRPr="00A66E6F" w:rsidRDefault="00A66E6F" w:rsidP="0041703A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6E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Интервалы группировок могут быть закрытыми и открытыми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Pr="00A66E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A66E6F">
        <w:rPr>
          <w:rFonts w:ascii="Times New Roman" w:hAnsi="Times New Roman" w:cs="Times New Roman"/>
          <w:bCs/>
          <w:iCs/>
          <w:color w:val="000000"/>
          <w:sz w:val="28"/>
          <w:szCs w:val="28"/>
          <w:shd w:val="clear" w:color="auto" w:fill="FFFFFF"/>
        </w:rPr>
        <w:t>Закрытыми</w:t>
      </w:r>
      <w:r w:rsidRPr="00A66E6F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 </w:t>
      </w:r>
      <w:r w:rsidRPr="00A66E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интервалами являются интервалы, в которых указаны верхняя и нижняя границы. Открытые интервалы имеют только одну границу (верхнюю – у первого, нижнюю – у последнего). </w:t>
      </w:r>
    </w:p>
    <w:p w:rsidR="0043601F" w:rsidRDefault="0043601F" w:rsidP="00615B6C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A12F07" w:rsidRPr="00A12F07" w:rsidRDefault="00B87A4C" w:rsidP="00615B6C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3.3</w:t>
      </w:r>
      <w:r w:rsidR="00A12F07" w:rsidRPr="00A12F07">
        <w:rPr>
          <w:rFonts w:ascii="Times New Roman" w:hAnsi="Times New Roman" w:cs="Times New Roman"/>
          <w:b/>
          <w:sz w:val="28"/>
          <w:szCs w:val="28"/>
        </w:rPr>
        <w:t xml:space="preserve"> Статистические ряды распределения и статистические таблицы</w:t>
      </w:r>
    </w:p>
    <w:p w:rsidR="00341146" w:rsidRPr="00091695" w:rsidRDefault="00341146" w:rsidP="00341146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1146">
        <w:rPr>
          <w:rFonts w:ascii="Times New Roman" w:hAnsi="Times New Roman" w:cs="Times New Roman"/>
          <w:b/>
          <w:i/>
          <w:sz w:val="28"/>
          <w:szCs w:val="28"/>
        </w:rPr>
        <w:t>Статистический ряд распределения</w:t>
      </w:r>
      <w:r w:rsidRPr="00091695">
        <w:rPr>
          <w:rFonts w:ascii="Times New Roman" w:hAnsi="Times New Roman" w:cs="Times New Roman"/>
          <w:sz w:val="28"/>
          <w:szCs w:val="28"/>
        </w:rPr>
        <w:t xml:space="preserve"> – это упорядоченное распределение единиц совокупности на группы по определенному </w:t>
      </w:r>
      <w:proofErr w:type="spellStart"/>
      <w:r w:rsidRPr="00091695">
        <w:rPr>
          <w:rFonts w:ascii="Times New Roman" w:hAnsi="Times New Roman" w:cs="Times New Roman"/>
          <w:sz w:val="28"/>
          <w:szCs w:val="28"/>
        </w:rPr>
        <w:t>группировочному</w:t>
      </w:r>
      <w:proofErr w:type="spellEnd"/>
      <w:r w:rsidRPr="00091695">
        <w:rPr>
          <w:rFonts w:ascii="Times New Roman" w:hAnsi="Times New Roman" w:cs="Times New Roman"/>
          <w:sz w:val="28"/>
          <w:szCs w:val="28"/>
        </w:rPr>
        <w:t xml:space="preserve"> признаку, который изменяется количественно и качественно от одной единицы к другой или от одного периода времени к другому.</w:t>
      </w:r>
    </w:p>
    <w:p w:rsidR="00077A10" w:rsidRPr="00091695" w:rsidRDefault="00077A10" w:rsidP="00615B6C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1695">
        <w:rPr>
          <w:rFonts w:ascii="Times New Roman" w:hAnsi="Times New Roman" w:cs="Times New Roman"/>
          <w:sz w:val="28"/>
          <w:szCs w:val="28"/>
        </w:rPr>
        <w:t>Ряды распределения могут быть:</w:t>
      </w:r>
    </w:p>
    <w:p w:rsidR="00077A10" w:rsidRPr="0068218C" w:rsidRDefault="00077A10" w:rsidP="0068218C">
      <w:pPr>
        <w:pStyle w:val="a3"/>
        <w:widowControl w:val="0"/>
        <w:numPr>
          <w:ilvl w:val="0"/>
          <w:numId w:val="14"/>
        </w:numPr>
        <w:tabs>
          <w:tab w:val="left" w:pos="993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218C">
        <w:rPr>
          <w:rFonts w:ascii="Times New Roman" w:hAnsi="Times New Roman" w:cs="Times New Roman"/>
          <w:b/>
          <w:i/>
          <w:sz w:val="28"/>
          <w:szCs w:val="28"/>
        </w:rPr>
        <w:t>вариационные</w:t>
      </w:r>
      <w:r w:rsidRPr="0068218C">
        <w:rPr>
          <w:rFonts w:ascii="Times New Roman" w:hAnsi="Times New Roman" w:cs="Times New Roman"/>
          <w:sz w:val="28"/>
          <w:szCs w:val="28"/>
        </w:rPr>
        <w:t>, т.е. ряды распределения, построенные по количественным признакам</w:t>
      </w:r>
      <w:r w:rsidR="0043601F" w:rsidRPr="0068218C">
        <w:rPr>
          <w:rFonts w:ascii="Times New Roman" w:hAnsi="Times New Roman" w:cs="Times New Roman"/>
          <w:sz w:val="28"/>
          <w:szCs w:val="28"/>
        </w:rPr>
        <w:t>.</w:t>
      </w:r>
      <w:r w:rsidRPr="0068218C">
        <w:rPr>
          <w:rFonts w:ascii="Times New Roman" w:hAnsi="Times New Roman" w:cs="Times New Roman"/>
          <w:sz w:val="28"/>
          <w:szCs w:val="28"/>
        </w:rPr>
        <w:t xml:space="preserve"> </w:t>
      </w:r>
      <w:r w:rsidR="0043601F" w:rsidRPr="0068218C">
        <w:rPr>
          <w:rFonts w:ascii="Times New Roman" w:hAnsi="Times New Roman" w:cs="Times New Roman"/>
          <w:sz w:val="28"/>
          <w:szCs w:val="28"/>
        </w:rPr>
        <w:t>В</w:t>
      </w:r>
      <w:r w:rsidRPr="0068218C">
        <w:rPr>
          <w:rFonts w:ascii="Times New Roman" w:hAnsi="Times New Roman" w:cs="Times New Roman"/>
          <w:sz w:val="28"/>
          <w:szCs w:val="28"/>
        </w:rPr>
        <w:t>ыделяют</w:t>
      </w:r>
      <w:r w:rsidR="0043601F" w:rsidRPr="0068218C">
        <w:rPr>
          <w:rFonts w:ascii="Times New Roman" w:hAnsi="Times New Roman" w:cs="Times New Roman"/>
          <w:sz w:val="28"/>
          <w:szCs w:val="28"/>
        </w:rPr>
        <w:t xml:space="preserve"> </w:t>
      </w:r>
      <w:r w:rsidRPr="0068218C">
        <w:rPr>
          <w:rFonts w:ascii="Times New Roman" w:hAnsi="Times New Roman" w:cs="Times New Roman"/>
          <w:sz w:val="28"/>
          <w:szCs w:val="28"/>
        </w:rPr>
        <w:t xml:space="preserve"> 3 формы вариационного ряда:</w:t>
      </w:r>
    </w:p>
    <w:p w:rsidR="00077A10" w:rsidRPr="0043601F" w:rsidRDefault="0043601F" w:rsidP="0068218C">
      <w:pPr>
        <w:pStyle w:val="a3"/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601F">
        <w:rPr>
          <w:rFonts w:ascii="Times New Roman" w:hAnsi="Times New Roman" w:cs="Times New Roman"/>
          <w:sz w:val="28"/>
          <w:szCs w:val="28"/>
        </w:rPr>
        <w:t>ранжированный</w:t>
      </w:r>
      <w:r>
        <w:rPr>
          <w:rFonts w:ascii="Times New Roman" w:hAnsi="Times New Roman" w:cs="Times New Roman"/>
          <w:sz w:val="28"/>
          <w:szCs w:val="28"/>
        </w:rPr>
        <w:t xml:space="preserve"> – распределение отдельных единиц совокупности в порядке возрастания или убывания исследуемого признака</w:t>
      </w:r>
      <w:r w:rsidRPr="0043601F">
        <w:rPr>
          <w:rFonts w:ascii="Times New Roman" w:hAnsi="Times New Roman" w:cs="Times New Roman"/>
          <w:sz w:val="28"/>
          <w:szCs w:val="28"/>
        </w:rPr>
        <w:t>;</w:t>
      </w:r>
    </w:p>
    <w:p w:rsidR="00077A10" w:rsidRPr="0043601F" w:rsidRDefault="0043601F" w:rsidP="0068218C">
      <w:pPr>
        <w:pStyle w:val="a3"/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601F">
        <w:rPr>
          <w:rFonts w:ascii="Times New Roman" w:hAnsi="Times New Roman" w:cs="Times New Roman"/>
          <w:sz w:val="28"/>
          <w:szCs w:val="28"/>
        </w:rPr>
        <w:t>дискретный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это такой вариационный ряд в основу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построения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которого положены признаки с прерывистыми изменениями (дискретные признаки)</w:t>
      </w:r>
      <w:r w:rsidRPr="0043601F">
        <w:rPr>
          <w:rFonts w:ascii="Times New Roman" w:hAnsi="Times New Roman" w:cs="Times New Roman"/>
          <w:sz w:val="28"/>
          <w:szCs w:val="28"/>
        </w:rPr>
        <w:t>;</w:t>
      </w:r>
    </w:p>
    <w:p w:rsidR="00077A10" w:rsidRDefault="0043601F" w:rsidP="0068218C">
      <w:pPr>
        <w:pStyle w:val="a3"/>
        <w:widowControl w:val="0"/>
        <w:numPr>
          <w:ilvl w:val="0"/>
          <w:numId w:val="13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3601F">
        <w:rPr>
          <w:rFonts w:ascii="Times New Roman" w:hAnsi="Times New Roman" w:cs="Times New Roman"/>
          <w:sz w:val="28"/>
          <w:szCs w:val="28"/>
        </w:rPr>
        <w:t>интервальный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признак имеет непрерывное изменение</w:t>
      </w:r>
      <w:r w:rsidRPr="0043601F">
        <w:rPr>
          <w:rFonts w:ascii="Times New Roman" w:hAnsi="Times New Roman" w:cs="Times New Roman"/>
          <w:sz w:val="28"/>
          <w:szCs w:val="28"/>
        </w:rPr>
        <w:t>.</w:t>
      </w:r>
    </w:p>
    <w:p w:rsidR="0068218C" w:rsidRPr="0068218C" w:rsidRDefault="0068218C" w:rsidP="0068218C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218C">
        <w:rPr>
          <w:rFonts w:ascii="Times New Roman" w:hAnsi="Times New Roman" w:cs="Times New Roman"/>
          <w:sz w:val="28"/>
          <w:szCs w:val="28"/>
        </w:rPr>
        <w:t xml:space="preserve">Вариационные </w:t>
      </w:r>
      <w:r>
        <w:rPr>
          <w:rFonts w:ascii="Times New Roman" w:hAnsi="Times New Roman" w:cs="Times New Roman"/>
          <w:sz w:val="28"/>
          <w:szCs w:val="28"/>
        </w:rPr>
        <w:t>ряды состоят из вариантов и частот (</w:t>
      </w:r>
      <w:proofErr w:type="spellStart"/>
      <w:r>
        <w:rPr>
          <w:rFonts w:ascii="Times New Roman" w:hAnsi="Times New Roman" w:cs="Times New Roman"/>
          <w:sz w:val="28"/>
          <w:szCs w:val="28"/>
        </w:rPr>
        <w:t>частостей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</w:p>
    <w:p w:rsidR="0068218C" w:rsidRPr="00E41C21" w:rsidRDefault="0068218C" w:rsidP="0068218C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1C21">
        <w:rPr>
          <w:rFonts w:ascii="Times New Roman" w:hAnsi="Times New Roman" w:cs="Times New Roman"/>
          <w:sz w:val="28"/>
          <w:szCs w:val="28"/>
        </w:rPr>
        <w:t>Варианты – отдельные значения признака, которые он принимает в вариационном ряду распределения.</w:t>
      </w:r>
    </w:p>
    <w:p w:rsidR="0068218C" w:rsidRPr="00E41C21" w:rsidRDefault="0068218C" w:rsidP="0068218C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1C21">
        <w:rPr>
          <w:rFonts w:ascii="Times New Roman" w:hAnsi="Times New Roman" w:cs="Times New Roman"/>
          <w:sz w:val="28"/>
          <w:szCs w:val="28"/>
        </w:rPr>
        <w:t xml:space="preserve">Частоты – </w:t>
      </w:r>
      <w:proofErr w:type="gramStart"/>
      <w:r w:rsidRPr="00E41C21">
        <w:rPr>
          <w:rFonts w:ascii="Times New Roman" w:hAnsi="Times New Roman" w:cs="Times New Roman"/>
          <w:sz w:val="28"/>
          <w:szCs w:val="28"/>
        </w:rPr>
        <w:t>числа, показывающие как часто встречаются</w:t>
      </w:r>
      <w:proofErr w:type="gramEnd"/>
      <w:r w:rsidRPr="00E41C21">
        <w:rPr>
          <w:rFonts w:ascii="Times New Roman" w:hAnsi="Times New Roman" w:cs="Times New Roman"/>
          <w:sz w:val="28"/>
          <w:szCs w:val="28"/>
        </w:rPr>
        <w:t xml:space="preserve"> те или иные варианты в вариационном ряду распределения.</w:t>
      </w:r>
    </w:p>
    <w:p w:rsidR="0068218C" w:rsidRPr="00E41C21" w:rsidRDefault="0068218C" w:rsidP="0068218C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41C21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E41C21">
        <w:rPr>
          <w:rFonts w:ascii="Times New Roman" w:hAnsi="Times New Roman" w:cs="Times New Roman"/>
          <w:sz w:val="28"/>
          <w:szCs w:val="28"/>
        </w:rPr>
        <w:t xml:space="preserve"> – частоты, выраженные в долях единицы или в процентах к итогу.</w:t>
      </w:r>
    </w:p>
    <w:p w:rsidR="00077A10" w:rsidRPr="00862CEA" w:rsidRDefault="00077A10" w:rsidP="00862CEA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1695">
        <w:rPr>
          <w:rFonts w:ascii="Times New Roman" w:hAnsi="Times New Roman" w:cs="Times New Roman"/>
          <w:sz w:val="28"/>
          <w:szCs w:val="28"/>
        </w:rPr>
        <w:t xml:space="preserve">2) </w:t>
      </w:r>
      <w:r w:rsidRPr="00091695">
        <w:rPr>
          <w:rFonts w:ascii="Times New Roman" w:hAnsi="Times New Roman" w:cs="Times New Roman"/>
          <w:b/>
          <w:i/>
          <w:sz w:val="28"/>
          <w:szCs w:val="28"/>
        </w:rPr>
        <w:t>атрибутивные</w:t>
      </w:r>
      <w:r w:rsidRPr="00091695">
        <w:rPr>
          <w:rFonts w:ascii="Times New Roman" w:hAnsi="Times New Roman" w:cs="Times New Roman"/>
          <w:sz w:val="28"/>
          <w:szCs w:val="28"/>
        </w:rPr>
        <w:t xml:space="preserve">, т.е. ряды распределения, построенные по качественным </w:t>
      </w:r>
      <w:r w:rsidRPr="00862CEA">
        <w:rPr>
          <w:rFonts w:ascii="Times New Roman" w:hAnsi="Times New Roman" w:cs="Times New Roman"/>
          <w:sz w:val="28"/>
          <w:szCs w:val="28"/>
        </w:rPr>
        <w:t>признакам.</w:t>
      </w:r>
    </w:p>
    <w:p w:rsidR="00862CEA" w:rsidRDefault="00862CEA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862CEA">
        <w:rPr>
          <w:color w:val="000000"/>
          <w:sz w:val="28"/>
          <w:szCs w:val="28"/>
        </w:rPr>
        <w:t xml:space="preserve">Анализ рядов распределения можно проводить на основе их графического изображения. </w:t>
      </w:r>
    </w:p>
    <w:p w:rsidR="00862CEA" w:rsidRDefault="00A729FC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862CEA">
        <w:rPr>
          <w:color w:val="000000"/>
          <w:sz w:val="28"/>
          <w:szCs w:val="28"/>
        </w:rPr>
        <w:t>К</w:t>
      </w:r>
      <w:r w:rsidR="00862CEA" w:rsidRPr="00862CEA">
        <w:rPr>
          <w:color w:val="000000"/>
          <w:sz w:val="28"/>
          <w:szCs w:val="28"/>
        </w:rPr>
        <w:t>руговые</w:t>
      </w:r>
      <w:r>
        <w:rPr>
          <w:color w:val="000000"/>
          <w:sz w:val="28"/>
          <w:szCs w:val="28"/>
        </w:rPr>
        <w:t xml:space="preserve"> </w:t>
      </w:r>
      <w:r w:rsidR="00862CEA" w:rsidRPr="00862CEA">
        <w:rPr>
          <w:color w:val="000000"/>
          <w:sz w:val="28"/>
          <w:szCs w:val="28"/>
        </w:rPr>
        <w:t xml:space="preserve"> диаграммы строятся для отображения структуры совокупности.</w:t>
      </w:r>
    </w:p>
    <w:p w:rsidR="00862CEA" w:rsidRDefault="00862CEA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62CEA" w:rsidRDefault="00862CEA" w:rsidP="00862CEA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B47F8">
        <w:rPr>
          <w:noProof/>
        </w:rPr>
        <w:drawing>
          <wp:inline distT="0" distB="0" distL="0" distR="0" wp14:anchorId="1F554FCB" wp14:editId="26E2F298">
            <wp:extent cx="3467100" cy="1828800"/>
            <wp:effectExtent l="0" t="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862CEA" w:rsidRDefault="00862CEA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62CEA" w:rsidRDefault="00862CEA" w:rsidP="00862CEA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color w:val="000000"/>
          <w:sz w:val="28"/>
          <w:szCs w:val="28"/>
        </w:rPr>
      </w:pPr>
      <w:r w:rsidRPr="00BB47F8">
        <w:rPr>
          <w:sz w:val="28"/>
        </w:rPr>
        <w:t>Структура ВРП Восточного Казахстана в 2015 году</w:t>
      </w:r>
    </w:p>
    <w:p w:rsidR="00862CEA" w:rsidRPr="00A729FC" w:rsidRDefault="00862CEA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A729FC" w:rsidRDefault="00A729FC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A729FC">
        <w:rPr>
          <w:sz w:val="28"/>
          <w:szCs w:val="28"/>
          <w:shd w:val="clear" w:color="auto" w:fill="FFFFFF"/>
        </w:rPr>
        <w:t>На </w:t>
      </w:r>
      <w:r w:rsidRPr="00A729FC">
        <w:rPr>
          <w:rStyle w:val="a7"/>
          <w:bCs/>
          <w:i w:val="0"/>
          <w:iCs w:val="0"/>
          <w:sz w:val="28"/>
          <w:szCs w:val="28"/>
          <w:shd w:val="clear" w:color="auto" w:fill="FFFFFF"/>
        </w:rPr>
        <w:t>линейчатой диаграмме</w:t>
      </w:r>
      <w:r w:rsidRPr="00A729FC">
        <w:rPr>
          <w:sz w:val="28"/>
          <w:szCs w:val="28"/>
          <w:shd w:val="clear" w:color="auto" w:fill="FFFFFF"/>
        </w:rPr>
        <w:t> ряд отображается в виде наборов горизонтальных линеек.</w:t>
      </w:r>
    </w:p>
    <w:p w:rsidR="00A729FC" w:rsidRDefault="00A729FC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</w:p>
    <w:p w:rsidR="00A729FC" w:rsidRDefault="00A729FC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</w:p>
    <w:p w:rsidR="00A729FC" w:rsidRDefault="00A729FC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</w:p>
    <w:p w:rsidR="00A729FC" w:rsidRDefault="00A729FC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</w:p>
    <w:p w:rsidR="00A729FC" w:rsidRDefault="00A729FC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BB47F8">
        <w:rPr>
          <w:noProof/>
        </w:rPr>
        <w:lastRenderedPageBreak/>
        <w:drawing>
          <wp:inline distT="0" distB="0" distL="0" distR="0" wp14:anchorId="13B04119" wp14:editId="6BBE2AC1">
            <wp:extent cx="5550196" cy="3891516"/>
            <wp:effectExtent l="0" t="0" r="0" b="0"/>
            <wp:docPr id="21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A729FC" w:rsidRDefault="00A729FC" w:rsidP="00A729FC">
      <w:pPr>
        <w:pStyle w:val="a4"/>
        <w:shd w:val="clear" w:color="auto" w:fill="FFFFFF"/>
        <w:spacing w:before="0" w:beforeAutospacing="0" w:after="0" w:afterAutospacing="0"/>
        <w:jc w:val="center"/>
        <w:rPr>
          <w:sz w:val="28"/>
          <w:szCs w:val="28"/>
          <w:shd w:val="clear" w:color="auto" w:fill="FFFFFF"/>
        </w:rPr>
      </w:pPr>
      <w:r w:rsidRPr="00BB47F8">
        <w:rPr>
          <w:sz w:val="28"/>
          <w:szCs w:val="28"/>
        </w:rPr>
        <w:t>Выбросы в атмосферу загрязняющих веществ, отходящих от стационарных источников в разрезе регионов РК в 2015 г., тыс. тонн</w:t>
      </w:r>
    </w:p>
    <w:p w:rsidR="00131E27" w:rsidRDefault="00131E27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A729FC" w:rsidRDefault="00131E27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464196">
        <w:rPr>
          <w:sz w:val="28"/>
          <w:szCs w:val="28"/>
        </w:rPr>
        <w:t>Диаграмма разброса используется для выявления зависимости одних показателей от других, например, для выявления зависимости между показателями качества и основными факторами производства</w:t>
      </w:r>
    </w:p>
    <w:p w:rsidR="00131E27" w:rsidRDefault="00131E27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</w:p>
    <w:p w:rsidR="00131E27" w:rsidRDefault="00131E27" w:rsidP="00131E27">
      <w:pPr>
        <w:pStyle w:val="a4"/>
        <w:shd w:val="clear" w:color="auto" w:fill="FFFFFF"/>
        <w:spacing w:before="0" w:beforeAutospacing="0" w:after="0" w:afterAutospacing="0"/>
        <w:ind w:hanging="142"/>
        <w:jc w:val="center"/>
        <w:rPr>
          <w:color w:val="000000"/>
          <w:sz w:val="28"/>
          <w:szCs w:val="28"/>
        </w:rPr>
      </w:pPr>
      <w:r w:rsidRPr="0046419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199190" wp14:editId="50F21B87">
                <wp:simplePos x="0" y="0"/>
                <wp:positionH relativeFrom="column">
                  <wp:posOffset>2180590</wp:posOffset>
                </wp:positionH>
                <wp:positionV relativeFrom="paragraph">
                  <wp:posOffset>172720</wp:posOffset>
                </wp:positionV>
                <wp:extent cx="571500" cy="228600"/>
                <wp:effectExtent l="0" t="0" r="0" b="0"/>
                <wp:wrapNone/>
                <wp:docPr id="92" name="Поле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31E27" w:rsidRPr="008D09A1" w:rsidRDefault="00131E27" w:rsidP="00131E2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D09A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n=25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2" o:spid="_x0000_s1026" type="#_x0000_t202" style="position:absolute;left:0;text-align:left;margin-left:171.7pt;margin-top:13.6pt;width:4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ftPwQIAALoFAAAOAAAAZHJzL2Uyb0RvYy54bWysVF2O0zAQfkfiDpbfs/khaZOo6Wq3aRDS&#10;8iMtHMBNnMYisYPtNl0QZ+EUPCFxhh6JsdN2u7tCQkAeItsz/ma+mc8zu9x1LdpSqZjgGfYvPIwo&#10;L0XF+DrDH94XToyR0oRXpBWcZviOKnw5f/5sNvQpDUQj2opKBCBcpUOf4UbrPnVdVTa0I+pC9JSD&#10;sRayIxq2cu1WkgyA3rVu4HkTdxCy6qUoqVJwmo9GPLf4dU1L/bauFdWozTDkpu1f2v/K/N35jKRr&#10;SfqGlYc0yF9k0RHGIegJKieaoI1kT6A6VkqhRK0vStG5oq5ZSS0HYON7j9jcNqSnlgsUR/WnMqn/&#10;B1u+2b6TiFUZTgKMOOmgR/tv+5/7H/vvCI6gPkOvUnC77cFR767FDvpsuar+RpQfFeJi0RC+pldS&#10;iqGhpIL8fHPTPbs64igDshpeiwrikI0WFmhXy84UD8qBAB36dHfqDd1pVMJhNPUjDywlmIIgnsDa&#10;RCDp8XIvlX5JRYfMIsMSWm/ByfZG6dH16GJicVGwtoVzkrb8wQFgjicQGq4am0nCdvNL4iXLeBmH&#10;ThhMlk7o5blzVSxCZ1L40yh/kS8Wuf/VxPXDtGFVRbkJc1SWH/5Z5w4aHzVx0pYSLasMnElJyfVq&#10;0Uq0JaDswn6Hgpy5uQ/TsPUCLo8o+UHoXQeJU0ziqRMWYeQkUy92PD+5TiZemIR58ZDSDeP03ymh&#10;AUQXBdGopd9y8+z3lBtJO6ZhdrSsy3B8ciKpUeCSV7a1mrB2XJ+VwqR/Xwpo97HRVq9GoqNY9W61&#10;AxQj4pWo7kC5UoCyQIQw8GDRCPkZowGGR4bVpw2RFKP2FQf1J34YmmljN2E0DWAjzy2rcwvhJUBl&#10;WGM0Lhd6nFCbXrJ1A5HG98bFFbyYmlk132d1eGcwICypwzAzE+h8b73uR+78FwAAAP//AwBQSwME&#10;FAAGAAgAAAAhAAQm8N/dAAAACQEAAA8AAABkcnMvZG93bnJldi54bWxMj8FOwzAMhu9IvENkJG4s&#10;oS0bK3WnCcQVxGBIu2WN11ZrnKrJ1vL2ZCc42v70+/uL1WQ7cabBt44R7mcKBHHlTMs1wtfn690j&#10;CB80G905JoQf8rAqr68KnRs38gedN6EWMYR9rhGaEPpcSl81ZLWfuZ443g5usDrEcailGfQYw20n&#10;E6Xm0uqW44dG9/TcUHXcnCzC9u2w+87Ue/1iH/rRTUqyXUrE25tp/QQi0BT+YLjoR3Uoo9Pendh4&#10;0SGkWZpFFCFZJCAikKWXxR5hniYgy0L+b1D+AgAA//8DAFBLAQItABQABgAIAAAAIQC2gziS/gAA&#10;AOEBAAATAAAAAAAAAAAAAAAAAAAAAABbQ29udGVudF9UeXBlc10ueG1sUEsBAi0AFAAGAAgAAAAh&#10;ADj9If/WAAAAlAEAAAsAAAAAAAAAAAAAAAAALwEAAF9yZWxzLy5yZWxzUEsBAi0AFAAGAAgAAAAh&#10;ADL1+0/BAgAAugUAAA4AAAAAAAAAAAAAAAAALgIAAGRycy9lMm9Eb2MueG1sUEsBAi0AFAAGAAgA&#10;AAAhAAQm8N/dAAAACQEAAA8AAAAAAAAAAAAAAAAAGwUAAGRycy9kb3ducmV2LnhtbFBLBQYAAAAA&#10;BAAEAPMAAAAlBgAAAAA=&#10;" filled="f" stroked="f">
                <v:textbox>
                  <w:txbxContent>
                    <w:p w:rsidR="00131E27" w:rsidRPr="008D09A1" w:rsidRDefault="00131E27" w:rsidP="00131E27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D09A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n=25</w:t>
                      </w:r>
                    </w:p>
                  </w:txbxContent>
                </v:textbox>
              </v:shape>
            </w:pict>
          </mc:Fallback>
        </mc:AlternateContent>
      </w:r>
      <w:r w:rsidRPr="00464196">
        <w:rPr>
          <w:noProof/>
        </w:rPr>
        <w:drawing>
          <wp:inline distT="0" distB="0" distL="0" distR="0" wp14:anchorId="5EF10AA4" wp14:editId="60321FD3">
            <wp:extent cx="2724150" cy="17430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E27" w:rsidRDefault="00131E27" w:rsidP="00131E27">
      <w:pPr>
        <w:pStyle w:val="a4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131E27" w:rsidRDefault="009F0FBF" w:rsidP="00131E27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64196">
        <w:rPr>
          <w:sz w:val="28"/>
          <w:szCs w:val="28"/>
        </w:rPr>
        <w:t>Д</w:t>
      </w:r>
      <w:r w:rsidR="00131E27" w:rsidRPr="00464196">
        <w:rPr>
          <w:sz w:val="28"/>
          <w:szCs w:val="28"/>
        </w:rPr>
        <w:t>иаграмм</w:t>
      </w:r>
      <w:r>
        <w:rPr>
          <w:sz w:val="28"/>
          <w:szCs w:val="28"/>
        </w:rPr>
        <w:t>а</w:t>
      </w:r>
      <w:r w:rsidR="00131E27" w:rsidRPr="00464196">
        <w:rPr>
          <w:sz w:val="28"/>
          <w:szCs w:val="28"/>
        </w:rPr>
        <w:t xml:space="preserve"> разброса</w:t>
      </w:r>
    </w:p>
    <w:p w:rsidR="00131E27" w:rsidRDefault="00131E27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862CEA" w:rsidRPr="00862CEA" w:rsidRDefault="009F0FBF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862CEA">
        <w:rPr>
          <w:color w:val="000000"/>
          <w:sz w:val="28"/>
          <w:szCs w:val="28"/>
        </w:rPr>
        <w:t>При изображении дискретных вариационных рядов используется</w:t>
      </w:r>
      <w:r w:rsidRPr="00862CEA">
        <w:rPr>
          <w:color w:val="000000"/>
          <w:sz w:val="28"/>
          <w:szCs w:val="28"/>
        </w:rPr>
        <w:t xml:space="preserve"> </w:t>
      </w:r>
      <w:r w:rsidR="00862CEA" w:rsidRPr="00862CEA">
        <w:rPr>
          <w:color w:val="000000"/>
          <w:sz w:val="28"/>
          <w:szCs w:val="28"/>
        </w:rPr>
        <w:t>вместе с диаграмм</w:t>
      </w:r>
      <w:r>
        <w:rPr>
          <w:color w:val="000000"/>
          <w:sz w:val="28"/>
          <w:szCs w:val="28"/>
        </w:rPr>
        <w:t xml:space="preserve">ами и такие линии, как полигон и </w:t>
      </w:r>
      <w:r w:rsidR="00862CEA" w:rsidRPr="00862CEA">
        <w:rPr>
          <w:color w:val="000000"/>
          <w:sz w:val="28"/>
          <w:szCs w:val="28"/>
        </w:rPr>
        <w:t xml:space="preserve">гистограмма. </w:t>
      </w:r>
    </w:p>
    <w:p w:rsidR="00862CEA" w:rsidRPr="00862CEA" w:rsidRDefault="00862CEA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131E27">
        <w:rPr>
          <w:b/>
          <w:bCs/>
          <w:i/>
          <w:color w:val="000000"/>
          <w:sz w:val="28"/>
          <w:szCs w:val="28"/>
        </w:rPr>
        <w:t>Полигон</w:t>
      </w:r>
      <w:r w:rsidRPr="00862CEA">
        <w:rPr>
          <w:b/>
          <w:bCs/>
          <w:color w:val="000000"/>
          <w:sz w:val="28"/>
          <w:szCs w:val="28"/>
        </w:rPr>
        <w:t> </w:t>
      </w:r>
      <w:r w:rsidRPr="00862CEA">
        <w:rPr>
          <w:color w:val="000000"/>
          <w:sz w:val="28"/>
          <w:szCs w:val="28"/>
        </w:rPr>
        <w:t xml:space="preserve">– ломаная кривая, строится на основе прямоугольной системы координат, когда по оси </w:t>
      </w:r>
      <w:r w:rsidRPr="008237AA">
        <w:rPr>
          <w:i/>
          <w:color w:val="000000"/>
          <w:sz w:val="28"/>
          <w:szCs w:val="28"/>
        </w:rPr>
        <w:t>Х</w:t>
      </w:r>
      <w:r w:rsidRPr="00862CEA">
        <w:rPr>
          <w:color w:val="000000"/>
          <w:sz w:val="28"/>
          <w:szCs w:val="28"/>
        </w:rPr>
        <w:t xml:space="preserve"> откладываются значения признака, а по оси</w:t>
      </w:r>
      <w:proofErr w:type="gramStart"/>
      <w:r w:rsidRPr="00862CEA">
        <w:rPr>
          <w:color w:val="000000"/>
          <w:sz w:val="28"/>
          <w:szCs w:val="28"/>
        </w:rPr>
        <w:t xml:space="preserve"> </w:t>
      </w:r>
      <w:r w:rsidRPr="008237AA">
        <w:rPr>
          <w:i/>
          <w:color w:val="000000"/>
          <w:sz w:val="28"/>
          <w:szCs w:val="28"/>
        </w:rPr>
        <w:t>У</w:t>
      </w:r>
      <w:proofErr w:type="gramEnd"/>
      <w:r w:rsidRPr="00862CEA">
        <w:rPr>
          <w:color w:val="000000"/>
          <w:sz w:val="28"/>
          <w:szCs w:val="28"/>
        </w:rPr>
        <w:t xml:space="preserve"> – частоты.</w:t>
      </w:r>
    </w:p>
    <w:p w:rsidR="00131E27" w:rsidRDefault="00131E27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</w:p>
    <w:p w:rsidR="00131E27" w:rsidRDefault="00131E27" w:rsidP="00131E27">
      <w:pPr>
        <w:pStyle w:val="a4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7A54D2">
        <w:rPr>
          <w:noProof/>
        </w:rPr>
        <w:lastRenderedPageBreak/>
        <w:drawing>
          <wp:inline distT="0" distB="0" distL="0" distR="0" wp14:anchorId="6402E7ED" wp14:editId="5E885CB7">
            <wp:extent cx="6076950" cy="2638425"/>
            <wp:effectExtent l="0" t="0" r="19050" b="9525"/>
            <wp:docPr id="73" name="Диаграмма 7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131E27" w:rsidRDefault="00131E27" w:rsidP="00862CEA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</w:p>
    <w:p w:rsidR="00131E27" w:rsidRPr="00131E27" w:rsidRDefault="00131E27" w:rsidP="00131E27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  <w:sz w:val="28"/>
          <w:szCs w:val="28"/>
        </w:rPr>
      </w:pPr>
      <w:r w:rsidRPr="00131E27">
        <w:rPr>
          <w:sz w:val="28"/>
          <w:szCs w:val="28"/>
        </w:rPr>
        <w:t>Тенденции мирового рынка нефти</w:t>
      </w:r>
    </w:p>
    <w:p w:rsidR="009F0FBF" w:rsidRDefault="009F0FBF" w:rsidP="009F0FB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</w:p>
    <w:p w:rsidR="009F0FBF" w:rsidRDefault="009F0FBF" w:rsidP="009F0FB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0B0FE9">
        <w:rPr>
          <w:b/>
          <w:i/>
          <w:sz w:val="28"/>
          <w:szCs w:val="28"/>
        </w:rPr>
        <w:t>Гистограмма</w:t>
      </w:r>
      <w:r>
        <w:rPr>
          <w:sz w:val="28"/>
          <w:szCs w:val="28"/>
        </w:rPr>
        <w:t> –</w:t>
      </w:r>
      <w:r w:rsidRPr="000B0FE9">
        <w:rPr>
          <w:sz w:val="28"/>
          <w:szCs w:val="28"/>
        </w:rPr>
        <w:t xml:space="preserve"> это инструмент, позволяющий зрительно оценить закон распределения статистических данных</w:t>
      </w:r>
    </w:p>
    <w:p w:rsidR="00862CEA" w:rsidRPr="00862CEA" w:rsidRDefault="00862CEA" w:rsidP="009F0FB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862CEA">
        <w:rPr>
          <w:color w:val="000000"/>
          <w:sz w:val="28"/>
          <w:szCs w:val="28"/>
        </w:rPr>
        <w:t>На основе гистограмм можно строить диаграммы накопленных частот с последующим построением интегральной эмпирической функции распределения.</w:t>
      </w:r>
    </w:p>
    <w:p w:rsidR="009F0FBF" w:rsidRDefault="009F0FBF" w:rsidP="009F0FBF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sz w:val="28"/>
          <w:szCs w:val="28"/>
          <w:lang w:eastAsia="ru-RU"/>
        </w:rPr>
        <w:drawing>
          <wp:inline distT="0" distB="0" distL="0" distR="0">
            <wp:extent cx="3305175" cy="25146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bookmarkEnd w:id="0"/>
    </w:p>
    <w:p w:rsidR="00477A42" w:rsidRDefault="009F0FBF" w:rsidP="009F0F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0FBF">
        <w:rPr>
          <w:rFonts w:ascii="Times New Roman" w:hAnsi="Times New Roman" w:cs="Times New Roman"/>
          <w:sz w:val="28"/>
          <w:szCs w:val="28"/>
        </w:rPr>
        <w:t>Гистограмм</w:t>
      </w:r>
      <w:r w:rsidRPr="009F0FBF">
        <w:rPr>
          <w:rFonts w:ascii="Times New Roman" w:hAnsi="Times New Roman" w:cs="Times New Roman"/>
          <w:sz w:val="28"/>
          <w:szCs w:val="28"/>
        </w:rPr>
        <w:t>а</w:t>
      </w:r>
    </w:p>
    <w:p w:rsidR="009F0FBF" w:rsidRDefault="009F0FBF" w:rsidP="009F0F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F0FBF" w:rsidRPr="009F0FBF" w:rsidRDefault="009F0FBF" w:rsidP="009F0FB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9F0FBF">
        <w:rPr>
          <w:color w:val="000000"/>
          <w:sz w:val="28"/>
          <w:szCs w:val="28"/>
        </w:rPr>
        <w:t>В виде статистических таблиц оформляются результаты сводки и группировки материалов наблюдения.</w:t>
      </w:r>
    </w:p>
    <w:p w:rsidR="009F0FBF" w:rsidRPr="009F0FBF" w:rsidRDefault="009F0FBF" w:rsidP="009F0FBF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9F0FBF">
        <w:rPr>
          <w:b/>
          <w:bCs/>
          <w:i/>
          <w:color w:val="000000"/>
          <w:sz w:val="28"/>
          <w:szCs w:val="28"/>
        </w:rPr>
        <w:t>Статистическая таблица</w:t>
      </w:r>
      <w:r w:rsidRPr="009F0FBF">
        <w:rPr>
          <w:b/>
          <w:bCs/>
          <w:color w:val="000000"/>
          <w:sz w:val="28"/>
          <w:szCs w:val="28"/>
        </w:rPr>
        <w:t> </w:t>
      </w:r>
      <w:r w:rsidRPr="009F0FBF">
        <w:rPr>
          <w:color w:val="000000"/>
          <w:sz w:val="28"/>
          <w:szCs w:val="28"/>
        </w:rPr>
        <w:t>– это особый способ краткой и наглядной записи сведений об изучаемых общественных явлениях.</w:t>
      </w:r>
    </w:p>
    <w:p w:rsidR="009F0FBF" w:rsidRDefault="00D61BE9" w:rsidP="00D61BE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Различают следующие виды таблиц:</w:t>
      </w:r>
    </w:p>
    <w:p w:rsidR="00D61BE9" w:rsidRPr="00D61BE9" w:rsidRDefault="00D61BE9" w:rsidP="00D61BE9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1BE9">
        <w:rPr>
          <w:rFonts w:ascii="Times New Roman" w:hAnsi="Times New Roman" w:cs="Times New Roman"/>
          <w:sz w:val="28"/>
          <w:szCs w:val="28"/>
        </w:rPr>
        <w:t>простые;</w:t>
      </w:r>
    </w:p>
    <w:p w:rsidR="00D61BE9" w:rsidRPr="00D61BE9" w:rsidRDefault="00D61BE9" w:rsidP="00D61BE9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1BE9">
        <w:rPr>
          <w:rFonts w:ascii="Times New Roman" w:hAnsi="Times New Roman" w:cs="Times New Roman"/>
          <w:sz w:val="28"/>
          <w:szCs w:val="28"/>
        </w:rPr>
        <w:t>групповые</w:t>
      </w:r>
    </w:p>
    <w:p w:rsidR="00D61BE9" w:rsidRDefault="00D61BE9" w:rsidP="00D61BE9">
      <w:pPr>
        <w:pStyle w:val="a3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1BE9">
        <w:rPr>
          <w:rFonts w:ascii="Times New Roman" w:hAnsi="Times New Roman" w:cs="Times New Roman"/>
          <w:sz w:val="28"/>
          <w:szCs w:val="28"/>
        </w:rPr>
        <w:t>комбинационные.</w:t>
      </w:r>
    </w:p>
    <w:p w:rsidR="00D61BE9" w:rsidRDefault="00D61BE9" w:rsidP="00D61BE9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простой таблице подлежащее не подразделяется на группы. </w:t>
      </w:r>
    </w:p>
    <w:p w:rsidR="00D61BE9" w:rsidRDefault="00D61BE9" w:rsidP="00F836C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BE9">
        <w:rPr>
          <w:rFonts w:ascii="Times New Roman" w:hAnsi="Times New Roman" w:cs="Times New Roman"/>
          <w:b/>
          <w:sz w:val="28"/>
          <w:szCs w:val="28"/>
        </w:rPr>
        <w:lastRenderedPageBreak/>
        <w:t>Динамика ВРП Восточно-Казахстанской области</w:t>
      </w:r>
    </w:p>
    <w:p w:rsidR="00F836C4" w:rsidRPr="00F836C4" w:rsidRDefault="00F836C4" w:rsidP="00F836C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0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5371"/>
        <w:gridCol w:w="1590"/>
        <w:gridCol w:w="1444"/>
        <w:gridCol w:w="1469"/>
      </w:tblGrid>
      <w:tr w:rsidR="0089645D" w:rsidRPr="00D61BE9" w:rsidTr="0089645D">
        <w:trPr>
          <w:trHeight w:val="222"/>
        </w:trPr>
        <w:tc>
          <w:tcPr>
            <w:tcW w:w="2720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805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2013 г.</w:t>
            </w:r>
          </w:p>
        </w:tc>
        <w:tc>
          <w:tcPr>
            <w:tcW w:w="731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2014 г.</w:t>
            </w:r>
          </w:p>
        </w:tc>
        <w:tc>
          <w:tcPr>
            <w:tcW w:w="744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2015 г.</w:t>
            </w:r>
          </w:p>
        </w:tc>
      </w:tr>
      <w:tr w:rsidR="0089645D" w:rsidRPr="00D61BE9" w:rsidTr="0089645D">
        <w:trPr>
          <w:trHeight w:val="222"/>
        </w:trPr>
        <w:tc>
          <w:tcPr>
            <w:tcW w:w="2720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Объем ВРП ВКО, млн. тенге</w:t>
            </w:r>
          </w:p>
        </w:tc>
        <w:tc>
          <w:tcPr>
            <w:tcW w:w="805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2 062 969,4</w:t>
            </w:r>
          </w:p>
        </w:tc>
        <w:tc>
          <w:tcPr>
            <w:tcW w:w="731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2 282 709,8</w:t>
            </w:r>
          </w:p>
        </w:tc>
        <w:tc>
          <w:tcPr>
            <w:tcW w:w="744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2 311 366,2</w:t>
            </w:r>
          </w:p>
        </w:tc>
      </w:tr>
      <w:tr w:rsidR="0089645D" w:rsidRPr="00D61BE9" w:rsidTr="0089645D">
        <w:trPr>
          <w:trHeight w:val="222"/>
        </w:trPr>
        <w:tc>
          <w:tcPr>
            <w:tcW w:w="2720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Объем ВВП РК, млн. тенге</w:t>
            </w:r>
          </w:p>
        </w:tc>
        <w:tc>
          <w:tcPr>
            <w:tcW w:w="805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35 999 025,1</w:t>
            </w:r>
          </w:p>
        </w:tc>
        <w:tc>
          <w:tcPr>
            <w:tcW w:w="731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39 675 832,9</w:t>
            </w:r>
          </w:p>
        </w:tc>
        <w:tc>
          <w:tcPr>
            <w:tcW w:w="744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40 884 133,6</w:t>
            </w:r>
          </w:p>
        </w:tc>
      </w:tr>
      <w:tr w:rsidR="0089645D" w:rsidRPr="00D61BE9" w:rsidTr="0089645D">
        <w:trPr>
          <w:trHeight w:val="182"/>
        </w:trPr>
        <w:tc>
          <w:tcPr>
            <w:tcW w:w="2720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Объем ВРП на душу населения ВКО, тыс. тенге</w:t>
            </w:r>
          </w:p>
        </w:tc>
        <w:tc>
          <w:tcPr>
            <w:tcW w:w="805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1 480,1</w:t>
            </w:r>
          </w:p>
        </w:tc>
        <w:tc>
          <w:tcPr>
            <w:tcW w:w="731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1 636,7</w:t>
            </w:r>
          </w:p>
        </w:tc>
        <w:tc>
          <w:tcPr>
            <w:tcW w:w="744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1 656,2</w:t>
            </w:r>
          </w:p>
        </w:tc>
      </w:tr>
      <w:tr w:rsidR="0089645D" w:rsidRPr="00D61BE9" w:rsidTr="0089645D">
        <w:trPr>
          <w:trHeight w:val="71"/>
        </w:trPr>
        <w:tc>
          <w:tcPr>
            <w:tcW w:w="2720" w:type="pct"/>
            <w:tcMar>
              <w:left w:w="28" w:type="dxa"/>
              <w:right w:w="28" w:type="dxa"/>
            </w:tcMar>
            <w:vAlign w:val="center"/>
          </w:tcPr>
          <w:p w:rsidR="00D61BE9" w:rsidRPr="00D61BE9" w:rsidRDefault="00D61BE9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Объем ВВП на душу населения РК, тыс.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тенге</w:t>
            </w:r>
          </w:p>
        </w:tc>
        <w:tc>
          <w:tcPr>
            <w:tcW w:w="805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2 113,2</w:t>
            </w:r>
          </w:p>
        </w:tc>
        <w:tc>
          <w:tcPr>
            <w:tcW w:w="731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2 294,8</w:t>
            </w:r>
          </w:p>
        </w:tc>
        <w:tc>
          <w:tcPr>
            <w:tcW w:w="744" w:type="pct"/>
            <w:tcMar>
              <w:left w:w="28" w:type="dxa"/>
              <w:right w:w="28" w:type="dxa"/>
            </w:tcMar>
          </w:tcPr>
          <w:p w:rsidR="00D61BE9" w:rsidRPr="00D61BE9" w:rsidRDefault="00D61BE9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1BE9">
              <w:rPr>
                <w:rFonts w:ascii="Times New Roman" w:hAnsi="Times New Roman" w:cs="Times New Roman"/>
                <w:sz w:val="24"/>
                <w:szCs w:val="24"/>
              </w:rPr>
              <w:t>2 330,4</w:t>
            </w:r>
          </w:p>
        </w:tc>
      </w:tr>
    </w:tbl>
    <w:p w:rsidR="00D61BE9" w:rsidRDefault="00D61BE9" w:rsidP="00F836C4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1BE9" w:rsidRDefault="0089645D" w:rsidP="00F836C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Групповыми называют таблицы, в которых подлежащее разделено на группы по какому-либо признаку.</w:t>
      </w:r>
    </w:p>
    <w:p w:rsidR="0089645D" w:rsidRDefault="0089645D" w:rsidP="00F836C4">
      <w:pPr>
        <w:tabs>
          <w:tab w:val="left" w:pos="993"/>
        </w:tabs>
        <w:spacing w:after="0" w:line="240" w:lineRule="auto"/>
        <w:jc w:val="both"/>
        <w:rPr>
          <w:sz w:val="28"/>
          <w:szCs w:val="28"/>
        </w:rPr>
      </w:pPr>
    </w:p>
    <w:p w:rsidR="0089645D" w:rsidRDefault="0089645D" w:rsidP="00F836C4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645D">
        <w:rPr>
          <w:rFonts w:ascii="Times New Roman" w:hAnsi="Times New Roman" w:cs="Times New Roman"/>
          <w:b/>
          <w:sz w:val="28"/>
          <w:szCs w:val="28"/>
        </w:rPr>
        <w:t>Динамика изменения структуры ВРП за 2011-201</w:t>
      </w:r>
      <w:r w:rsidRPr="0089645D">
        <w:rPr>
          <w:rFonts w:ascii="Times New Roman" w:hAnsi="Times New Roman" w:cs="Times New Roman"/>
          <w:b/>
          <w:sz w:val="28"/>
          <w:szCs w:val="28"/>
          <w:lang w:val="kk-KZ"/>
        </w:rPr>
        <w:t>5</w:t>
      </w:r>
      <w:r w:rsidRPr="0089645D">
        <w:rPr>
          <w:rFonts w:ascii="Times New Roman" w:hAnsi="Times New Roman" w:cs="Times New Roman"/>
          <w:b/>
          <w:sz w:val="28"/>
          <w:szCs w:val="28"/>
        </w:rPr>
        <w:t xml:space="preserve"> годы по ВКО</w:t>
      </w:r>
    </w:p>
    <w:p w:rsidR="0089645D" w:rsidRPr="00F836C4" w:rsidRDefault="0089645D" w:rsidP="00F836C4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108" w:type="pct"/>
        <w:tblLayout w:type="fixed"/>
        <w:tblLook w:val="04A0" w:firstRow="1" w:lastRow="0" w:firstColumn="1" w:lastColumn="0" w:noHBand="0" w:noVBand="1"/>
      </w:tblPr>
      <w:tblGrid>
        <w:gridCol w:w="413"/>
        <w:gridCol w:w="1924"/>
        <w:gridCol w:w="1060"/>
        <w:gridCol w:w="840"/>
        <w:gridCol w:w="1048"/>
        <w:gridCol w:w="840"/>
        <w:gridCol w:w="1050"/>
        <w:gridCol w:w="844"/>
        <w:gridCol w:w="1050"/>
        <w:gridCol w:w="834"/>
      </w:tblGrid>
      <w:tr w:rsidR="0089645D" w:rsidRPr="0089645D" w:rsidTr="00F836C4">
        <w:trPr>
          <w:trHeight w:val="7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/п</w:t>
            </w:r>
          </w:p>
        </w:tc>
        <w:tc>
          <w:tcPr>
            <w:tcW w:w="9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9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sz w:val="24"/>
                <w:szCs w:val="24"/>
              </w:rPr>
              <w:t>2012 г.</w:t>
            </w:r>
          </w:p>
        </w:tc>
        <w:tc>
          <w:tcPr>
            <w:tcW w:w="95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sz w:val="24"/>
                <w:szCs w:val="24"/>
              </w:rPr>
              <w:t>2013 г.</w:t>
            </w:r>
          </w:p>
        </w:tc>
        <w:tc>
          <w:tcPr>
            <w:tcW w:w="9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sz w:val="24"/>
                <w:szCs w:val="24"/>
              </w:rPr>
              <w:t>2014 г.</w:t>
            </w:r>
          </w:p>
        </w:tc>
        <w:tc>
          <w:tcPr>
            <w:tcW w:w="95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sz w:val="24"/>
                <w:szCs w:val="24"/>
              </w:rPr>
              <w:t>2015 г.</w:t>
            </w:r>
          </w:p>
        </w:tc>
      </w:tr>
      <w:tr w:rsidR="0089645D" w:rsidRPr="0089645D" w:rsidTr="0089645D">
        <w:trPr>
          <w:trHeight w:val="576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млрд. тенге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структура %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млрд. тенге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структура %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млрд. тенге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структура %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млрд. тенге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структура %</w:t>
            </w:r>
          </w:p>
        </w:tc>
      </w:tr>
      <w:tr w:rsidR="0089645D" w:rsidRPr="0089645D" w:rsidTr="0089645D">
        <w:trPr>
          <w:trHeight w:val="418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Объем ВРП, млрд. тенге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1811,2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2063,0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2282,7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2311,4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89645D" w:rsidRPr="0089645D" w:rsidTr="0089645D">
        <w:trPr>
          <w:trHeight w:val="268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Промышленность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518,8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28,64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578,7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28,05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684,3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29,98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683,6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29,58</w:t>
            </w:r>
          </w:p>
        </w:tc>
      </w:tr>
      <w:tr w:rsidR="0089645D" w:rsidRPr="0089645D" w:rsidTr="0089645D">
        <w:trPr>
          <w:trHeight w:val="268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Сельское хозяйство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169,9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9,38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194,0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9,40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198,7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8,71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221,5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9,58</w:t>
            </w:r>
          </w:p>
        </w:tc>
      </w:tr>
      <w:tr w:rsidR="0089645D" w:rsidRPr="0089645D" w:rsidTr="0089645D">
        <w:trPr>
          <w:trHeight w:val="288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Строительство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4,61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104,7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116,6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5,11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118,3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5,12</w:t>
            </w:r>
          </w:p>
        </w:tc>
      </w:tr>
      <w:tr w:rsidR="0089645D" w:rsidRPr="0089645D" w:rsidTr="0089645D">
        <w:trPr>
          <w:trHeight w:val="288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Торговля</w:t>
            </w: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kk-KZ"/>
              </w:rPr>
              <w:t>ремонт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265,7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14,67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296,6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14,38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337,4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14,78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322,4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13,95</w:t>
            </w:r>
          </w:p>
        </w:tc>
      </w:tr>
      <w:tr w:rsidR="0089645D" w:rsidRPr="0089645D" w:rsidTr="0089645D">
        <w:trPr>
          <w:trHeight w:val="32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hideMark/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Транспорт и связь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155,8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8,60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191,2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9,27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191,8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8,40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231,1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10,00</w:t>
            </w:r>
          </w:p>
        </w:tc>
      </w:tr>
      <w:tr w:rsidR="0089645D" w:rsidRPr="0089645D" w:rsidTr="0089645D">
        <w:trPr>
          <w:trHeight w:val="320"/>
        </w:trPr>
        <w:tc>
          <w:tcPr>
            <w:tcW w:w="20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645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9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Прочие</w:t>
            </w:r>
          </w:p>
        </w:tc>
        <w:tc>
          <w:tcPr>
            <w:tcW w:w="5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617,5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34,10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697,9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33,83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753,9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33,02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734,4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:rsidR="0089645D" w:rsidRPr="0089645D" w:rsidRDefault="0089645D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64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31,77</w:t>
            </w:r>
          </w:p>
        </w:tc>
      </w:tr>
    </w:tbl>
    <w:p w:rsidR="0089645D" w:rsidRPr="00F836C4" w:rsidRDefault="0089645D" w:rsidP="00F836C4">
      <w:pPr>
        <w:widowControl w:val="0"/>
        <w:spacing w:after="0" w:line="240" w:lineRule="auto"/>
        <w:ind w:firstLine="567"/>
        <w:jc w:val="both"/>
        <w:rPr>
          <w:sz w:val="20"/>
          <w:szCs w:val="20"/>
        </w:rPr>
      </w:pPr>
    </w:p>
    <w:p w:rsidR="007662DC" w:rsidRDefault="007662DC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7662DC">
        <w:rPr>
          <w:rFonts w:ascii="Times New Roman" w:hAnsi="Times New Roman" w:cs="Times New Roman"/>
          <w:sz w:val="28"/>
        </w:rPr>
        <w:t xml:space="preserve">Комбинационными </w:t>
      </w:r>
      <w:r>
        <w:rPr>
          <w:rFonts w:ascii="Times New Roman" w:hAnsi="Times New Roman" w:cs="Times New Roman"/>
          <w:sz w:val="28"/>
        </w:rPr>
        <w:t>называют такие таблицы, в которых подлежащее классифицируют на группы не по одному, а по нескольким признака, причем каждая группа, образованная по одному признаку, подразделяется на подгруппы по другому признаку.</w:t>
      </w:r>
    </w:p>
    <w:p w:rsidR="007662DC" w:rsidRPr="00F836C4" w:rsidRDefault="007662DC" w:rsidP="00F836C4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7662DC" w:rsidRPr="007662DC" w:rsidRDefault="007662DC" w:rsidP="00F836C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662DC">
        <w:rPr>
          <w:rFonts w:ascii="Times New Roman" w:hAnsi="Times New Roman" w:cs="Times New Roman"/>
          <w:b/>
          <w:sz w:val="28"/>
        </w:rPr>
        <w:t xml:space="preserve">Группировка магазинов г. Усть-Каменогорска по размеру товарооборота </w:t>
      </w:r>
    </w:p>
    <w:p w:rsidR="007662DC" w:rsidRPr="007662DC" w:rsidRDefault="007662DC" w:rsidP="00F836C4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7662DC">
        <w:rPr>
          <w:rFonts w:ascii="Times New Roman" w:hAnsi="Times New Roman" w:cs="Times New Roman"/>
          <w:b/>
          <w:sz w:val="28"/>
        </w:rPr>
        <w:t>и по площади торгового зала</w:t>
      </w:r>
    </w:p>
    <w:p w:rsidR="007662DC" w:rsidRDefault="007662DC" w:rsidP="00F836C4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85"/>
        <w:gridCol w:w="1841"/>
        <w:gridCol w:w="2695"/>
        <w:gridCol w:w="2233"/>
      </w:tblGrid>
      <w:tr w:rsidR="007662DC" w:rsidRPr="007662DC" w:rsidTr="00F836C4">
        <w:tc>
          <w:tcPr>
            <w:tcW w:w="3085" w:type="dxa"/>
          </w:tcPr>
          <w:p w:rsidR="007662DC" w:rsidRP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62DC">
              <w:rPr>
                <w:rFonts w:ascii="Times New Roman" w:hAnsi="Times New Roman" w:cs="Times New Roman"/>
                <w:sz w:val="24"/>
                <w:szCs w:val="24"/>
              </w:rPr>
              <w:t>Группы магазинов по размеру месячного товарооборота, млн. тенге</w:t>
            </w:r>
          </w:p>
        </w:tc>
        <w:tc>
          <w:tcPr>
            <w:tcW w:w="1841" w:type="dxa"/>
          </w:tcPr>
          <w:p w:rsidR="007662DC" w:rsidRP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Площадь торгового зала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5" w:type="dxa"/>
          </w:tcPr>
          <w:p w:rsidR="007662DC" w:rsidRP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розничных предприятий, единиц</w:t>
            </w:r>
          </w:p>
        </w:tc>
        <w:tc>
          <w:tcPr>
            <w:tcW w:w="2233" w:type="dxa"/>
          </w:tcPr>
          <w:p w:rsid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Розничный товарооборот, </w:t>
            </w:r>
          </w:p>
          <w:p w:rsidR="007662DC" w:rsidRP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млн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тенге </w:t>
            </w:r>
          </w:p>
        </w:tc>
      </w:tr>
      <w:tr w:rsidR="007662DC" w:rsidRPr="007662DC" w:rsidTr="00F836C4">
        <w:tc>
          <w:tcPr>
            <w:tcW w:w="3085" w:type="dxa"/>
          </w:tcPr>
          <w:p w:rsidR="007662DC" w:rsidRPr="007662DC" w:rsidRDefault="007662DC" w:rsidP="00F836C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</w:p>
        </w:tc>
        <w:tc>
          <w:tcPr>
            <w:tcW w:w="1841" w:type="dxa"/>
          </w:tcPr>
          <w:p w:rsid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</w:p>
          <w:p w:rsid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30-50</w:t>
            </w:r>
          </w:p>
          <w:p w:rsidR="007662DC" w:rsidRP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Свыше </w:t>
            </w:r>
            <w:r w:rsidR="00F836C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95" w:type="dxa"/>
          </w:tcPr>
          <w:p w:rsid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836C4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836C4" w:rsidRPr="007662DC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33" w:type="dxa"/>
          </w:tcPr>
          <w:p w:rsidR="007662DC" w:rsidRDefault="007662DC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  <w:p w:rsidR="00F836C4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  <w:p w:rsidR="00F836C4" w:rsidRPr="007662DC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9,3</w:t>
            </w:r>
          </w:p>
        </w:tc>
      </w:tr>
      <w:tr w:rsidR="007662DC" w:rsidRPr="007662DC" w:rsidTr="00F836C4">
        <w:tc>
          <w:tcPr>
            <w:tcW w:w="3085" w:type="dxa"/>
          </w:tcPr>
          <w:p w:rsidR="007662DC" w:rsidRPr="007662DC" w:rsidRDefault="00F836C4" w:rsidP="00F836C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11 до 20</w:t>
            </w:r>
          </w:p>
        </w:tc>
        <w:tc>
          <w:tcPr>
            <w:tcW w:w="1841" w:type="dxa"/>
          </w:tcPr>
          <w:p w:rsidR="00F836C4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</w:p>
          <w:p w:rsidR="00F836C4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30-50</w:t>
            </w:r>
          </w:p>
          <w:p w:rsidR="007662DC" w:rsidRPr="007662DC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Свыше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95" w:type="dxa"/>
          </w:tcPr>
          <w:p w:rsidR="007662DC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836C4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836C4" w:rsidRPr="007662DC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33" w:type="dxa"/>
          </w:tcPr>
          <w:p w:rsidR="007662DC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836C4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</w:t>
            </w:r>
          </w:p>
          <w:p w:rsidR="00F836C4" w:rsidRPr="007662DC" w:rsidRDefault="00F836C4" w:rsidP="00F836C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90,1</w:t>
            </w:r>
          </w:p>
        </w:tc>
      </w:tr>
    </w:tbl>
    <w:p w:rsidR="00F836C4" w:rsidRPr="00F836C4" w:rsidRDefault="00F836C4" w:rsidP="00F836C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F836C4" w:rsidRPr="00F836C4" w:rsidRDefault="00F836C4" w:rsidP="00F836C4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36C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Анализ статистической таблицы логичнее начинать с общего итога, который позволяет получить общую характеристику совокупности, затем переходить к изучению данных отдельных строк и граф, т. е. к оценке частей изучаемого объекта, исследуя при этом вначале наиболее важные, а потом уже и все остальные элементы таблицы.</w:t>
      </w:r>
    </w:p>
    <w:sectPr w:rsidR="00F836C4" w:rsidRPr="00F836C4" w:rsidSect="00644EE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6E55"/>
    <w:multiLevelType w:val="hybridMultilevel"/>
    <w:tmpl w:val="81868086"/>
    <w:lvl w:ilvl="0" w:tplc="099C28D2">
      <w:start w:val="1"/>
      <w:numFmt w:val="decimal"/>
      <w:lvlText w:val="%1)"/>
      <w:lvlJc w:val="left"/>
      <w:pPr>
        <w:ind w:left="1722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3D5365C"/>
    <w:multiLevelType w:val="hybridMultilevel"/>
    <w:tmpl w:val="1B04B3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3841DF"/>
    <w:multiLevelType w:val="hybridMultilevel"/>
    <w:tmpl w:val="8F7AB804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E586901"/>
    <w:multiLevelType w:val="hybridMultilevel"/>
    <w:tmpl w:val="997238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0D4EBF"/>
    <w:multiLevelType w:val="hybridMultilevel"/>
    <w:tmpl w:val="70DC382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E229F"/>
    <w:multiLevelType w:val="hybridMultilevel"/>
    <w:tmpl w:val="DAE66A8C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3D50EBF"/>
    <w:multiLevelType w:val="hybridMultilevel"/>
    <w:tmpl w:val="CE8C7F80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8B7B5A"/>
    <w:multiLevelType w:val="multilevel"/>
    <w:tmpl w:val="ED36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C00288"/>
    <w:multiLevelType w:val="hybridMultilevel"/>
    <w:tmpl w:val="959ABCDA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0D03C0"/>
    <w:multiLevelType w:val="hybridMultilevel"/>
    <w:tmpl w:val="EE48FE38"/>
    <w:lvl w:ilvl="0" w:tplc="4794656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417022A8"/>
    <w:multiLevelType w:val="hybridMultilevel"/>
    <w:tmpl w:val="884412F8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41B33D31"/>
    <w:multiLevelType w:val="hybridMultilevel"/>
    <w:tmpl w:val="71A068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E41389"/>
    <w:multiLevelType w:val="hybridMultilevel"/>
    <w:tmpl w:val="389AB3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F15255"/>
    <w:multiLevelType w:val="hybridMultilevel"/>
    <w:tmpl w:val="38F4792C"/>
    <w:lvl w:ilvl="0" w:tplc="3E8AA7D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66B501C4"/>
    <w:multiLevelType w:val="hybridMultilevel"/>
    <w:tmpl w:val="D1A6886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7B3F70CA"/>
    <w:multiLevelType w:val="hybridMultilevel"/>
    <w:tmpl w:val="6FD475A8"/>
    <w:lvl w:ilvl="0" w:tplc="807C9A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2"/>
  </w:num>
  <w:num w:numId="4">
    <w:abstractNumId w:val="1"/>
  </w:num>
  <w:num w:numId="5">
    <w:abstractNumId w:val="13"/>
  </w:num>
  <w:num w:numId="6">
    <w:abstractNumId w:val="15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  <w:num w:numId="11">
    <w:abstractNumId w:val="2"/>
  </w:num>
  <w:num w:numId="12">
    <w:abstractNumId w:val="8"/>
  </w:num>
  <w:num w:numId="13">
    <w:abstractNumId w:val="10"/>
  </w:num>
  <w:num w:numId="14">
    <w:abstractNumId w:val="14"/>
  </w:num>
  <w:num w:numId="15">
    <w:abstractNumId w:val="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2CD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A10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1E27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4E35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2BB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146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6490"/>
    <w:rsid w:val="0041703A"/>
    <w:rsid w:val="004175F2"/>
    <w:rsid w:val="004177C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01F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6CC5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5B6C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18C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62DC"/>
    <w:rsid w:val="007673C0"/>
    <w:rsid w:val="007715B6"/>
    <w:rsid w:val="007716B8"/>
    <w:rsid w:val="00775226"/>
    <w:rsid w:val="00775280"/>
    <w:rsid w:val="00776461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56C2"/>
    <w:rsid w:val="0080647E"/>
    <w:rsid w:val="00812BA5"/>
    <w:rsid w:val="00815CD5"/>
    <w:rsid w:val="00816623"/>
    <w:rsid w:val="0082203A"/>
    <w:rsid w:val="008237A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18E4"/>
    <w:rsid w:val="00853D0F"/>
    <w:rsid w:val="00854CA8"/>
    <w:rsid w:val="0085723E"/>
    <w:rsid w:val="00857705"/>
    <w:rsid w:val="0086026C"/>
    <w:rsid w:val="0086070E"/>
    <w:rsid w:val="0086075C"/>
    <w:rsid w:val="00862CEA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9645D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0FBF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2F07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6E6F"/>
    <w:rsid w:val="00A67CDD"/>
    <w:rsid w:val="00A729FC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87A4C"/>
    <w:rsid w:val="00B90723"/>
    <w:rsid w:val="00B90C72"/>
    <w:rsid w:val="00B91032"/>
    <w:rsid w:val="00B91507"/>
    <w:rsid w:val="00B93BC4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A9D"/>
    <w:rsid w:val="00C40BD2"/>
    <w:rsid w:val="00C421FF"/>
    <w:rsid w:val="00C44F80"/>
    <w:rsid w:val="00C4520C"/>
    <w:rsid w:val="00C45968"/>
    <w:rsid w:val="00C45FE1"/>
    <w:rsid w:val="00C46B0D"/>
    <w:rsid w:val="00C472F6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13FA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1BE9"/>
    <w:rsid w:val="00D62706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A79"/>
    <w:rsid w:val="00D76BB8"/>
    <w:rsid w:val="00D83F79"/>
    <w:rsid w:val="00D861CA"/>
    <w:rsid w:val="00D8646B"/>
    <w:rsid w:val="00D903D6"/>
    <w:rsid w:val="00D90879"/>
    <w:rsid w:val="00D90B9F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1C21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1469"/>
    <w:rsid w:val="00E72ECB"/>
    <w:rsid w:val="00E75909"/>
    <w:rsid w:val="00E77156"/>
    <w:rsid w:val="00E77170"/>
    <w:rsid w:val="00E802D3"/>
    <w:rsid w:val="00E80773"/>
    <w:rsid w:val="00E8135B"/>
    <w:rsid w:val="00E822CD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75319"/>
    <w:rsid w:val="00F76CC5"/>
    <w:rsid w:val="00F81046"/>
    <w:rsid w:val="00F820B6"/>
    <w:rsid w:val="00F8310E"/>
    <w:rsid w:val="00F836C4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4D2B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A10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A1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40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62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2CEA"/>
    <w:rPr>
      <w:rFonts w:ascii="Tahoma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A729FC"/>
    <w:rPr>
      <w:i/>
      <w:iCs/>
    </w:rPr>
  </w:style>
  <w:style w:type="table" w:styleId="a8">
    <w:name w:val="Table Grid"/>
    <w:basedOn w:val="a1"/>
    <w:uiPriority w:val="59"/>
    <w:rsid w:val="00766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A10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A1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40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62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2CEA"/>
    <w:rPr>
      <w:rFonts w:ascii="Tahoma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A729FC"/>
    <w:rPr>
      <w:i/>
      <w:iCs/>
    </w:rPr>
  </w:style>
  <w:style w:type="table" w:styleId="a8">
    <w:name w:val="Table Grid"/>
    <w:basedOn w:val="a1"/>
    <w:uiPriority w:val="59"/>
    <w:rsid w:val="007662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chart" Target="charts/chart4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chart" Target="charts/chart3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9.e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chart" Target="charts/chart2.xml"/><Relationship Id="rId28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chart" Target="charts/chart1.xm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44;&#1080;&#1072;&#1075;&#1088;&#1072;&#1084;&#1084;&#1072;%20&#1074;%20Microsoft%20Word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F:\&#1044;&#1080;&#1089;&#1089;&#1077;&#1088;%20&#1069;&#1041;&#1060;\&#1057;&#1090;&#1072;&#1090;&#1100;&#1103;%20&#1050;&#1072;&#1079;&#1053;&#1059;\&#1056;&#1080;&#1089;&#1091;&#1085;&#1086;&#1082;%201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75"/>
      <c:rotY val="24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25245950905870657"/>
          <c:y val="4.2211903756859417E-2"/>
          <c:w val="0.52213635879974407"/>
          <c:h val="0.87145877027085461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prstMaterial="dkEdge">
              <a:bevelT w="107950" h="107950" prst="angle"/>
              <a:bevelB w="25400"/>
            </a:sp3d>
          </c:spPr>
          <c:explosion val="10"/>
          <c:dPt>
            <c:idx val="1"/>
            <c:bubble3D val="0"/>
            <c:explosion val="11"/>
          </c:dPt>
          <c:dLbls>
            <c:dLbl>
              <c:idx val="1"/>
              <c:layout>
                <c:manualLayout>
                  <c:x val="2.7484689413823306E-3"/>
                  <c:y val="4.0131598133566634E-2"/>
                </c:manualLayout>
              </c:layout>
              <c:tx>
                <c:rich>
                  <a:bodyPr/>
                  <a:lstStyle/>
                  <a:p>
                    <a:r>
                      <a:rPr lang="ru-RU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Промышленность
27,9</a:t>
                    </a:r>
                    <a:endParaRPr lang="ru-RU"/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  <c:separator>
</c:separator>
            </c:dLbl>
            <c:dLbl>
              <c:idx val="3"/>
              <c:layout>
                <c:manualLayout>
                  <c:x val="-3.7245806476619618E-2"/>
                  <c:y val="-7.607143070786648E-4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separator>
</c:separator>
            </c:dLbl>
            <c:dLbl>
              <c:idx val="4"/>
              <c:layout>
                <c:manualLayout>
                  <c:x val="6.4305177111716714E-4"/>
                  <c:y val="-3.589075426356847E-2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separator>
</c:separator>
            </c:dLbl>
            <c:dLbl>
              <c:idx val="5"/>
              <c:layout>
                <c:manualLayout>
                  <c:x val="2.7027777777777824E-2"/>
                  <c:y val="-5.515784485272681E-2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  <c:separator>
</c:separator>
            </c:dLbl>
            <c:showLegendKey val="0"/>
            <c:showVal val="1"/>
            <c:showCatName val="1"/>
            <c:showSerName val="0"/>
            <c:showPercent val="0"/>
            <c:showBubbleSize val="0"/>
            <c:separator>
</c:separator>
            <c:showLeaderLines val="1"/>
          </c:dLbls>
          <c:cat>
            <c:strRef>
              <c:f>'[Диаграмма в Microsoft Word]Sheet1'!$B$1:$G$1</c:f>
              <c:strCache>
                <c:ptCount val="6"/>
                <c:pt idx="0">
                  <c:v>Сельское хозяйство</c:v>
                </c:pt>
                <c:pt idx="1">
                  <c:v>Промышленность</c:v>
                </c:pt>
                <c:pt idx="2">
                  <c:v>Строительство</c:v>
                </c:pt>
                <c:pt idx="3">
                  <c:v>Торговля и ремонт</c:v>
                </c:pt>
                <c:pt idx="4">
                  <c:v>Транспорт и связь</c:v>
                </c:pt>
                <c:pt idx="5">
                  <c:v>Прочие</c:v>
                </c:pt>
              </c:strCache>
            </c:strRef>
          </c:cat>
          <c:val>
            <c:numRef>
              <c:f>'[Диаграмма в Microsoft Word]Sheet1'!$B$2:$G$2</c:f>
              <c:numCache>
                <c:formatCode>General</c:formatCode>
                <c:ptCount val="6"/>
                <c:pt idx="0">
                  <c:v>9.58</c:v>
                </c:pt>
                <c:pt idx="1">
                  <c:v>29.58</c:v>
                </c:pt>
                <c:pt idx="2">
                  <c:v>5.1199999999999966</c:v>
                </c:pt>
                <c:pt idx="3">
                  <c:v>13.950000000000006</c:v>
                </c:pt>
                <c:pt idx="4">
                  <c:v>10</c:v>
                </c:pt>
                <c:pt idx="5">
                  <c:v>31.77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plotVisOnly val="1"/>
    <c:dispBlanksAs val="zero"/>
    <c:showDLblsOverMax val="0"/>
  </c:chart>
  <c:txPr>
    <a:bodyPr/>
    <a:lstStyle/>
    <a:p>
      <a:pPr algn="just"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cene3d>
              <a:camera prst="orthographicFront"/>
              <a:lightRig rig="soft" dir="t"/>
            </a:scene3d>
            <a:sp3d prstMaterial="dkEdge">
              <a:bevelT w="165100" prst="coolSlant"/>
            </a:sp3d>
          </c:spPr>
          <c:invertIfNegative val="0"/>
          <c:dLbls>
            <c:spPr>
              <a:noFill/>
              <a:ln w="25137">
                <a:noFill/>
              </a:ln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Лист1!$A$2:$A$18</c:f>
              <c:strCache>
                <c:ptCount val="17"/>
                <c:pt idx="1">
                  <c:v>Карагандинская</c:v>
                </c:pt>
                <c:pt idx="2">
                  <c:v>Павлодарская</c:v>
                </c:pt>
                <c:pt idx="3">
                  <c:v>Актюбинская</c:v>
                </c:pt>
                <c:pt idx="4">
                  <c:v>ВКО</c:v>
                </c:pt>
                <c:pt idx="5">
                  <c:v>Атырауская</c:v>
                </c:pt>
                <c:pt idx="6">
                  <c:v>Костанайская</c:v>
                </c:pt>
                <c:pt idx="7">
                  <c:v>Акмолинская</c:v>
                </c:pt>
                <c:pt idx="8">
                  <c:v>СКО</c:v>
                </c:pt>
                <c:pt idx="9">
                  <c:v>Мангистауская</c:v>
                </c:pt>
                <c:pt idx="10">
                  <c:v>ЮКО</c:v>
                </c:pt>
                <c:pt idx="11">
                  <c:v>Астана</c:v>
                </c:pt>
                <c:pt idx="12">
                  <c:v>Алматинская</c:v>
                </c:pt>
                <c:pt idx="13">
                  <c:v>ЗКО</c:v>
                </c:pt>
                <c:pt idx="14">
                  <c:v>Жамбылская</c:v>
                </c:pt>
                <c:pt idx="15">
                  <c:v>Алматы</c:v>
                </c:pt>
                <c:pt idx="16">
                  <c:v>Кызылординская</c:v>
                </c:pt>
              </c:strCache>
            </c:strRef>
          </c:cat>
          <c:val>
            <c:numRef>
              <c:f>Лист1!$B$2:$B$18</c:f>
              <c:numCache>
                <c:formatCode>General</c:formatCode>
                <c:ptCount val="17"/>
                <c:pt idx="1">
                  <c:v>596.4</c:v>
                </c:pt>
                <c:pt idx="2">
                  <c:v>552.9</c:v>
                </c:pt>
                <c:pt idx="3">
                  <c:v>134.30000000000001</c:v>
                </c:pt>
                <c:pt idx="4">
                  <c:v>127.2</c:v>
                </c:pt>
                <c:pt idx="5">
                  <c:v>110.7</c:v>
                </c:pt>
                <c:pt idx="6">
                  <c:v>91.6</c:v>
                </c:pt>
                <c:pt idx="7">
                  <c:v>85.7</c:v>
                </c:pt>
                <c:pt idx="8">
                  <c:v>74.900000000000006</c:v>
                </c:pt>
                <c:pt idx="9">
                  <c:v>72.5</c:v>
                </c:pt>
                <c:pt idx="10">
                  <c:v>69</c:v>
                </c:pt>
                <c:pt idx="11">
                  <c:v>56.3</c:v>
                </c:pt>
                <c:pt idx="12">
                  <c:v>55.1</c:v>
                </c:pt>
                <c:pt idx="13">
                  <c:v>42.4</c:v>
                </c:pt>
                <c:pt idx="14">
                  <c:v>41.9</c:v>
                </c:pt>
                <c:pt idx="15">
                  <c:v>39.1</c:v>
                </c:pt>
                <c:pt idx="16">
                  <c:v>30.8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80"/>
        <c:axId val="295158144"/>
        <c:axId val="295159680"/>
      </c:barChart>
      <c:dateAx>
        <c:axId val="295158144"/>
        <c:scaling>
          <c:orientation val="minMax"/>
        </c:scaling>
        <c:delete val="0"/>
        <c:axPos val="l"/>
        <c:numFmt formatCode="General" sourceLinked="0"/>
        <c:majorTickMark val="out"/>
        <c:minorTickMark val="cross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295159680"/>
        <c:crosses val="autoZero"/>
        <c:auto val="0"/>
        <c:lblOffset val="1"/>
        <c:baseTimeUnit val="days"/>
        <c:majorUnit val="1"/>
      </c:dateAx>
      <c:valAx>
        <c:axId val="2951596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95158144"/>
        <c:crossesAt val="1"/>
        <c:crossBetween val="between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188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9.7243000874890642E-2"/>
          <c:y val="4.1256440227775713E-2"/>
          <c:w val="0.8101528871391076"/>
          <c:h val="0.53902469420915511"/>
        </c:manualLayout>
      </c:layout>
      <c:lineChart>
        <c:grouping val="standar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Мировое производство нефти, млн. тонн</c:v>
                </c:pt>
              </c:strCache>
            </c:strRef>
          </c:tx>
          <c:marker>
            <c:symbol val="circle"/>
            <c:size val="5"/>
          </c:marker>
          <c:cat>
            <c:numRef>
              <c:f>Лист1!$B$1:$L$1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Лист1!$B$2:$L$2</c:f>
              <c:numCache>
                <c:formatCode>General</c:formatCode>
                <c:ptCount val="11"/>
                <c:pt idx="0">
                  <c:v>3938</c:v>
                </c:pt>
                <c:pt idx="1">
                  <c:v>3964</c:v>
                </c:pt>
                <c:pt idx="2">
                  <c:v>3951</c:v>
                </c:pt>
                <c:pt idx="3">
                  <c:v>3987</c:v>
                </c:pt>
                <c:pt idx="4">
                  <c:v>3887</c:v>
                </c:pt>
                <c:pt idx="5">
                  <c:v>3979</c:v>
                </c:pt>
                <c:pt idx="6">
                  <c:v>4012</c:v>
                </c:pt>
                <c:pt idx="7">
                  <c:v>4119</c:v>
                </c:pt>
                <c:pt idx="8">
                  <c:v>4127</c:v>
                </c:pt>
                <c:pt idx="9">
                  <c:v>4229</c:v>
                </c:pt>
                <c:pt idx="10">
                  <c:v>4362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Мировое потребление нефти, млн. тонн</c:v>
                </c:pt>
              </c:strCache>
            </c:strRef>
          </c:tx>
          <c:marker>
            <c:symbol val="square"/>
            <c:size val="5"/>
          </c:marker>
          <c:cat>
            <c:numRef>
              <c:f>Лист1!$B$1:$L$1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Лист1!$B$3:$L$3</c:f>
              <c:numCache>
                <c:formatCode>General</c:formatCode>
                <c:ptCount val="11"/>
                <c:pt idx="0">
                  <c:v>3941.9</c:v>
                </c:pt>
                <c:pt idx="1">
                  <c:v>3950.7</c:v>
                </c:pt>
                <c:pt idx="2">
                  <c:v>3869.9</c:v>
                </c:pt>
                <c:pt idx="3">
                  <c:v>3955.7</c:v>
                </c:pt>
                <c:pt idx="4">
                  <c:v>3825.4</c:v>
                </c:pt>
                <c:pt idx="5">
                  <c:v>3878.2</c:v>
                </c:pt>
                <c:pt idx="6">
                  <c:v>3902.8</c:v>
                </c:pt>
                <c:pt idx="7">
                  <c:v>4069.6</c:v>
                </c:pt>
                <c:pt idx="8">
                  <c:v>4043.6</c:v>
                </c:pt>
                <c:pt idx="9">
                  <c:v>4206.1000000000004</c:v>
                </c:pt>
                <c:pt idx="10">
                  <c:v>4392.5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96728448"/>
        <c:axId val="296730624"/>
      </c:lineChart>
      <c:lineChart>
        <c:grouping val="standard"/>
        <c:varyColors val="0"/>
        <c:ser>
          <c:idx val="2"/>
          <c:order val="2"/>
          <c:tx>
            <c:strRef>
              <c:f>Лист1!$A$4</c:f>
              <c:strCache>
                <c:ptCount val="1"/>
                <c:pt idx="0">
                  <c:v>Баланс потребления, правая шкала</c:v>
                </c:pt>
              </c:strCache>
            </c:strRef>
          </c:tx>
          <c:marker>
            <c:symbol val="circle"/>
            <c:size val="4"/>
            <c:spPr>
              <a:solidFill>
                <a:schemeClr val="accent4">
                  <a:lumMod val="50000"/>
                </a:schemeClr>
              </a:solidFill>
              <a:ln w="25400">
                <a:solidFill>
                  <a:schemeClr val="accent4"/>
                </a:solidFill>
              </a:ln>
            </c:spPr>
          </c:marker>
          <c:dLbls>
            <c:dLbl>
              <c:idx val="4"/>
              <c:layout>
                <c:manualLayout>
                  <c:x val="-0.05"/>
                  <c:y val="7.126112402979441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-3.3333333333333333E-2"/>
                  <c:y val="-2.250351285151402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2.2222222222222223E-2"/>
                  <c:y val="-1.125175642575701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Лист1!$B$1:$L$1</c:f>
              <c:numCache>
                <c:formatCode>General</c:formatCode>
                <c:ptCount val="11"/>
                <c:pt idx="0">
                  <c:v>2005</c:v>
                </c:pt>
                <c:pt idx="1">
                  <c:v>2006</c:v>
                </c:pt>
                <c:pt idx="2">
                  <c:v>2007</c:v>
                </c:pt>
                <c:pt idx="3">
                  <c:v>2008</c:v>
                </c:pt>
                <c:pt idx="4">
                  <c:v>2009</c:v>
                </c:pt>
                <c:pt idx="5">
                  <c:v>2010</c:v>
                </c:pt>
                <c:pt idx="6">
                  <c:v>2011</c:v>
                </c:pt>
                <c:pt idx="7">
                  <c:v>2012</c:v>
                </c:pt>
                <c:pt idx="8">
                  <c:v>2013</c:v>
                </c:pt>
                <c:pt idx="9">
                  <c:v>2014</c:v>
                </c:pt>
                <c:pt idx="10">
                  <c:v>2015</c:v>
                </c:pt>
              </c:numCache>
            </c:numRef>
          </c:cat>
          <c:val>
            <c:numRef>
              <c:f>Лист1!$B$4:$L$4</c:f>
              <c:numCache>
                <c:formatCode>General</c:formatCode>
                <c:ptCount val="11"/>
                <c:pt idx="0">
                  <c:v>3.9</c:v>
                </c:pt>
                <c:pt idx="1">
                  <c:v>-13.3</c:v>
                </c:pt>
                <c:pt idx="2">
                  <c:v>-81.099999999999994</c:v>
                </c:pt>
                <c:pt idx="3">
                  <c:v>-31.3</c:v>
                </c:pt>
                <c:pt idx="4">
                  <c:v>-61.6</c:v>
                </c:pt>
                <c:pt idx="5">
                  <c:v>-100.8</c:v>
                </c:pt>
                <c:pt idx="6">
                  <c:v>-109.2</c:v>
                </c:pt>
                <c:pt idx="7">
                  <c:v>-49.4</c:v>
                </c:pt>
                <c:pt idx="8">
                  <c:v>-83.4</c:v>
                </c:pt>
                <c:pt idx="9">
                  <c:v>-22.9</c:v>
                </c:pt>
                <c:pt idx="10">
                  <c:v>30.5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96862464"/>
        <c:axId val="296733696"/>
      </c:lineChart>
      <c:catAx>
        <c:axId val="2967284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RU"/>
          </a:p>
        </c:txPr>
        <c:crossAx val="296730624"/>
        <c:crosses val="autoZero"/>
        <c:auto val="1"/>
        <c:lblAlgn val="ctr"/>
        <c:lblOffset val="100"/>
        <c:noMultiLvlLbl val="0"/>
      </c:catAx>
      <c:valAx>
        <c:axId val="2967306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RU"/>
          </a:p>
        </c:txPr>
        <c:crossAx val="296728448"/>
        <c:crosses val="autoZero"/>
        <c:crossBetween val="between"/>
      </c:valAx>
      <c:valAx>
        <c:axId val="296733696"/>
        <c:scaling>
          <c:orientation val="minMax"/>
          <c:max val="40"/>
          <c:min val="-120"/>
        </c:scaling>
        <c:delete val="0"/>
        <c:axPos val="r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RU"/>
          </a:p>
        </c:txPr>
        <c:crossAx val="296862464"/>
        <c:crosses val="max"/>
        <c:crossBetween val="between"/>
        <c:majorUnit val="20"/>
        <c:minorUnit val="10"/>
      </c:valAx>
      <c:catAx>
        <c:axId val="29686246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296733696"/>
        <c:crosses val="autoZero"/>
        <c:auto val="1"/>
        <c:lblAlgn val="ctr"/>
        <c:lblOffset val="100"/>
        <c:noMultiLvlLbl val="0"/>
      </c:catAx>
    </c:plotArea>
    <c:legend>
      <c:legendPos val="b"/>
      <c:layout>
        <c:manualLayout>
          <c:xMode val="edge"/>
          <c:yMode val="edge"/>
          <c:x val="0.15673981191222572"/>
          <c:y val="0.74479155221876336"/>
          <c:w val="0.69421963320415669"/>
          <c:h val="0.19609909226462968"/>
        </c:manualLayout>
      </c:layout>
      <c:overlay val="0"/>
      <c:txPr>
        <a:bodyPr/>
        <a:lstStyle/>
        <a:p>
          <a:pPr>
            <a:defRPr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455621301775148"/>
          <c:y val="8.6614173228346455E-2"/>
          <c:w val="0.79881656804733725"/>
          <c:h val="0.7283464566929134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2,503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3.469769457372845E-3"/>
                  <c:y val="0.12723534558180227"/>
                </c:manualLayout>
              </c:layout>
              <c:dLblPos val="outEnd"/>
              <c:showLegendKey val="0"/>
              <c:showVal val="0"/>
              <c:showCatName val="0"/>
              <c:showSerName val="1"/>
              <c:showPercent val="0"/>
              <c:showBubbleSize val="0"/>
            </c:dLbl>
            <c:spPr>
              <a:noFill/>
              <a:ln w="25328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1"/>
            <c:showPercent val="0"/>
            <c:showBubbleSize val="0"/>
            <c:showLeaderLines val="0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Sheet1!$B$2:$B$2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2,508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elete val="1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Sheet1!$B$3:$B$3</c:f>
              <c:numCache>
                <c:formatCode>General</c:formatCode>
                <c:ptCount val="1"/>
                <c:pt idx="0">
                  <c:v>4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2,513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-6.6740309474343342E-3"/>
                  <c:y val="0.35243219597550307"/>
                </c:manualLayout>
              </c:layout>
              <c:dLblPos val="outEnd"/>
              <c:showLegendKey val="0"/>
              <c:showVal val="0"/>
              <c:showCatName val="0"/>
              <c:showSerName val="1"/>
              <c:showPercent val="0"/>
              <c:showBubbleSize val="0"/>
            </c:dLbl>
            <c:spPr>
              <a:noFill/>
              <a:ln w="25328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1"/>
            <c:showPercent val="0"/>
            <c:showBubbleSize val="0"/>
            <c:showLeaderLines val="0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Sheet1!$B$4:$B$4</c:f>
              <c:numCache>
                <c:formatCode>General</c:formatCode>
                <c:ptCount val="1"/>
                <c:pt idx="0">
                  <c:v>9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2,518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elete val="1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Sheet1!$B$5:$B$5</c:f>
              <c:numCache>
                <c:formatCode>General</c:formatCode>
                <c:ptCount val="1"/>
                <c:pt idx="0">
                  <c:v>14</c:v>
                </c:pt>
              </c:numCache>
            </c:numRef>
          </c:val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2,523</c:v>
                </c:pt>
              </c:strCache>
            </c:strRef>
          </c:tx>
          <c:spPr>
            <a:solidFill>
              <a:srgbClr val="660066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FFFFFF"/>
              </a:solidFill>
              <a:ln w="12664">
                <a:solidFill>
                  <a:srgbClr val="000000"/>
                </a:solidFill>
                <a:prstDash val="solid"/>
              </a:ln>
            </c:spPr>
          </c:dPt>
          <c:dLbls>
            <c:dLbl>
              <c:idx val="0"/>
              <c:layout>
                <c:manualLayout>
                  <c:x val="-4.9832092697738826E-3"/>
                  <c:y val="0.72723534558180225"/>
                </c:manualLayout>
              </c:layout>
              <c:tx>
                <c:rich>
                  <a:bodyPr/>
                  <a:lstStyle/>
                  <a:p>
                    <a:r>
                      <a:rPr lang="ru-RU" sz="1000" b="0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2,523</a:t>
                    </a:r>
                    <a:endParaRPr lang="ru-RU"/>
                  </a:p>
                </c:rich>
              </c:tx>
              <c:dLblPos val="outEnd"/>
              <c:showLegendKey val="0"/>
              <c:showVal val="0"/>
              <c:showCatName val="0"/>
              <c:showSerName val="0"/>
              <c:showPercent val="0"/>
              <c:showBubbleSize val="0"/>
            </c:dLbl>
            <c:spPr>
              <a:noFill/>
              <a:ln w="25328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1"/>
            <c:showPercent val="0"/>
            <c:showBubbleSize val="0"/>
            <c:showLeaderLines val="0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Sheet1!$B$6:$B$6</c:f>
              <c:numCache>
                <c:formatCode>General</c:formatCode>
                <c:ptCount val="1"/>
                <c:pt idx="0">
                  <c:v>22</c:v>
                </c:pt>
              </c:numCache>
            </c:numRef>
          </c:val>
        </c:ser>
        <c:ser>
          <c:idx val="5"/>
          <c:order val="5"/>
          <c:tx>
            <c:strRef>
              <c:f>Sheet1!$A$7</c:f>
              <c:strCache>
                <c:ptCount val="1"/>
                <c:pt idx="0">
                  <c:v>2,528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elete val="1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Sheet1!$B$7:$B$7</c:f>
              <c:numCache>
                <c:formatCode>General</c:formatCode>
                <c:ptCount val="1"/>
                <c:pt idx="0">
                  <c:v>19</c:v>
                </c:pt>
              </c:numCache>
            </c:numRef>
          </c:val>
        </c:ser>
        <c:ser>
          <c:idx val="6"/>
          <c:order val="6"/>
          <c:tx>
            <c:strRef>
              <c:f>Sheet1!$A$8</c:f>
              <c:strCache>
                <c:ptCount val="1"/>
                <c:pt idx="0">
                  <c:v>2,533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6244696153598021E-3"/>
                  <c:y val="0.37369203849518812"/>
                </c:manualLayout>
              </c:layout>
              <c:dLblPos val="outEnd"/>
              <c:showLegendKey val="0"/>
              <c:showVal val="0"/>
              <c:showCatName val="0"/>
              <c:showSerName val="1"/>
              <c:showPercent val="0"/>
              <c:showBubbleSize val="0"/>
            </c:dLbl>
            <c:spPr>
              <a:noFill/>
              <a:ln w="25328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1"/>
            <c:showPercent val="0"/>
            <c:showBubbleSize val="0"/>
            <c:showLeaderLines val="0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Sheet1!$B$8:$B$8</c:f>
              <c:numCache>
                <c:formatCode>General</c:formatCode>
                <c:ptCount val="1"/>
                <c:pt idx="0">
                  <c:v>10</c:v>
                </c:pt>
              </c:numCache>
            </c:numRef>
          </c:val>
        </c:ser>
        <c:ser>
          <c:idx val="7"/>
          <c:order val="7"/>
          <c:tx>
            <c:strRef>
              <c:f>Sheet1!$A$9</c:f>
              <c:strCache>
                <c:ptCount val="1"/>
                <c:pt idx="0">
                  <c:v>2,538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elete val="1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Sheet1!$B$9:$B$9</c:f>
              <c:numCache>
                <c:formatCode>General</c:formatCode>
                <c:ptCount val="1"/>
                <c:pt idx="0">
                  <c:v>6</c:v>
                </c:pt>
              </c:numCache>
            </c:numRef>
          </c:val>
        </c:ser>
        <c:ser>
          <c:idx val="8"/>
          <c:order val="8"/>
          <c:tx>
            <c:strRef>
              <c:f>Sheet1!$A$10</c:f>
              <c:strCache>
                <c:ptCount val="1"/>
                <c:pt idx="0">
                  <c:v>2,543</c:v>
                </c:pt>
              </c:strCache>
            </c:strRef>
          </c:tx>
          <c:spPr>
            <a:solidFill>
              <a:srgbClr val="FFFFFF"/>
            </a:solidFill>
            <a:ln w="12664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4.3149887371798472E-3"/>
                  <c:y val="0.23195975503062119"/>
                </c:manualLayout>
              </c:layout>
              <c:dLblPos val="outEnd"/>
              <c:showLegendKey val="0"/>
              <c:showVal val="0"/>
              <c:showCatName val="0"/>
              <c:showSerName val="1"/>
              <c:showPercent val="0"/>
              <c:showBubbleSize val="0"/>
            </c:dLbl>
            <c:spPr>
              <a:noFill/>
              <a:ln w="25328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Times New Roman" panose="02020603050405020304" pitchFamily="18" charset="0"/>
                    <a:ea typeface="Calibri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1"/>
            <c:showPercent val="0"/>
            <c:showBubbleSize val="0"/>
            <c:showLeaderLines val="0"/>
          </c:dLbls>
          <c:cat>
            <c:numRef>
              <c:f>Sheet1!$B$1:$B$1</c:f>
              <c:numCache>
                <c:formatCode>General</c:formatCode>
                <c:ptCount val="1"/>
              </c:numCache>
            </c:numRef>
          </c:cat>
          <c:val>
            <c:numRef>
              <c:f>Sheet1!$B$10:$B$10</c:f>
              <c:numCache>
                <c:formatCode>General</c:formatCode>
                <c:ptCount val="1"/>
                <c:pt idx="0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1"/>
          <c:showPercent val="0"/>
          <c:showBubbleSize val="0"/>
        </c:dLbls>
        <c:gapWidth val="150"/>
        <c:axId val="314336000"/>
        <c:axId val="314337920"/>
      </c:barChart>
      <c:catAx>
        <c:axId val="3143360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197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ru-RU"/>
                  <a:t>Диаметр оси в мм</a:t>
                </a:r>
              </a:p>
            </c:rich>
          </c:tx>
          <c:layout>
            <c:manualLayout>
              <c:xMode val="edge"/>
              <c:yMode val="edge"/>
              <c:x val="0.38461538461538464"/>
              <c:y val="0.88582677165354329"/>
            </c:manualLayout>
          </c:layout>
          <c:overlay val="0"/>
          <c:spPr>
            <a:noFill/>
            <a:ln w="25328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6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31433792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31433792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sz="1197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ru-RU"/>
                  <a:t>Частота</a:t>
                </a:r>
              </a:p>
            </c:rich>
          </c:tx>
          <c:layout>
            <c:manualLayout>
              <c:xMode val="edge"/>
              <c:yMode val="edge"/>
              <c:x val="1.4792899408284023E-2"/>
              <c:y val="0.3346456692913386"/>
            </c:manualLayout>
          </c:layout>
          <c:overlay val="0"/>
          <c:spPr>
            <a:noFill/>
            <a:ln w="25328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6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72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314336000"/>
        <c:crosses val="autoZero"/>
        <c:crossBetween val="between"/>
      </c:valAx>
      <c:spPr>
        <a:noFill/>
        <a:ln w="25328">
          <a:noFill/>
        </a:ln>
      </c:spPr>
    </c:plotArea>
    <c:plotVisOnly val="1"/>
    <c:dispBlanksAs val="gap"/>
    <c:showDLblsOverMax val="0"/>
  </c:chart>
  <c:spPr>
    <a:solidFill>
      <a:srgbClr val="FFFFFF"/>
    </a:solidFill>
    <a:ln>
      <a:noFill/>
    </a:ln>
  </c:spPr>
  <c:txPr>
    <a:bodyPr/>
    <a:lstStyle/>
    <a:p>
      <a:pPr>
        <a:defRPr sz="972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7</Pages>
  <Words>1645</Words>
  <Characters>9382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2018-01-04T15:48:00Z</dcterms:created>
  <dcterms:modified xsi:type="dcterms:W3CDTF">2018-01-05T14:10:00Z</dcterms:modified>
</cp:coreProperties>
</file>